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CD4DAF" w:rsidR="00AF37FB" w:rsidP="00F40432" w:rsidRDefault="000863D3" w14:paraId="5B0F03D6" wp14:textId="77777777">
      <w:pPr>
        <w:jc w:val="both"/>
        <w:rPr>
          <w:rFonts w:ascii="Tahoma" w:hAnsi="Tahoma" w:cs="Tahoma"/>
          <w:color w:val="0070C0"/>
          <w:sz w:val="40"/>
          <w:lang w:val="en-GB"/>
        </w:rPr>
      </w:pPr>
      <w:r>
        <w:rPr>
          <w:rFonts w:ascii="Tahoma" w:hAnsi="Tahoma" w:cs="Tahoma"/>
          <w:color w:val="0070C0"/>
          <w:sz w:val="40"/>
          <w:lang w:val="en-GB"/>
        </w:rPr>
        <w:t>Session</w:t>
      </w:r>
      <w:r w:rsidRPr="00CD4DAF" w:rsidR="00AF37FB">
        <w:rPr>
          <w:rFonts w:ascii="Tahoma" w:hAnsi="Tahoma" w:cs="Tahoma"/>
          <w:color w:val="0070C0"/>
          <w:sz w:val="40"/>
          <w:lang w:val="en-GB"/>
        </w:rPr>
        <w:t xml:space="preserve"> </w:t>
      </w:r>
      <w:r w:rsidR="00C06117">
        <w:rPr>
          <w:rFonts w:ascii="Tahoma" w:hAnsi="Tahoma" w:cs="Tahoma"/>
          <w:color w:val="0070C0"/>
          <w:sz w:val="40"/>
          <w:lang w:val="en-GB"/>
        </w:rPr>
        <w:t>2</w:t>
      </w:r>
      <w:bookmarkStart w:name="_GoBack" w:id="0"/>
      <w:bookmarkEnd w:id="0"/>
      <w:r w:rsidRPr="00CD4DAF" w:rsidR="00AF37FB">
        <w:rPr>
          <w:rFonts w:ascii="Tahoma" w:hAnsi="Tahoma" w:cs="Tahoma"/>
          <w:color w:val="0070C0"/>
          <w:sz w:val="40"/>
          <w:lang w:val="en-GB"/>
        </w:rPr>
        <w:t xml:space="preserve">: </w:t>
      </w:r>
      <w:r w:rsidRPr="00CD4DAF" w:rsidR="00C66CDC">
        <w:rPr>
          <w:rFonts w:ascii="Tahoma" w:hAnsi="Tahoma" w:cs="Tahoma"/>
          <w:color w:val="0070C0"/>
          <w:sz w:val="40"/>
          <w:lang w:val="en-GB"/>
        </w:rPr>
        <w:t>Case Stud</w:t>
      </w:r>
      <w:r w:rsidRPr="00CD4DAF" w:rsidR="007031E1">
        <w:rPr>
          <w:rFonts w:ascii="Tahoma" w:hAnsi="Tahoma" w:cs="Tahoma"/>
          <w:color w:val="0070C0"/>
          <w:sz w:val="40"/>
          <w:lang w:val="en-GB"/>
        </w:rPr>
        <w:t>y</w:t>
      </w:r>
    </w:p>
    <w:p xmlns:wp14="http://schemas.microsoft.com/office/word/2010/wordml" w:rsidRPr="00E943D9" w:rsidR="00E943D9" w:rsidP="00E943D9" w:rsidRDefault="009709EB" w14:paraId="53D1870D" wp14:textId="77777777">
      <w:pPr>
        <w:jc w:val="both"/>
        <w:rPr>
          <w:rFonts w:ascii="Tahoma" w:hAnsi="Tahoma" w:cs="Tahoma"/>
          <w:b/>
          <w:sz w:val="32"/>
          <w:lang w:val="en-GB"/>
        </w:rPr>
      </w:pPr>
      <w:r w:rsidRPr="009709EB">
        <w:rPr>
          <w:rFonts w:ascii="Tahoma" w:hAnsi="Tahoma" w:cs="Tahoma"/>
          <w:b/>
          <w:sz w:val="32"/>
          <w:lang w:val="en-GB"/>
        </w:rPr>
        <w:t>AGRO</w:t>
      </w:r>
      <w:r w:rsidR="000863D3">
        <w:rPr>
          <w:rFonts w:ascii="Tahoma" w:hAnsi="Tahoma" w:cs="Tahoma"/>
          <w:b/>
          <w:sz w:val="32"/>
          <w:lang w:val="en-GB"/>
        </w:rPr>
        <w:t>CORRIDORS</w:t>
      </w:r>
    </w:p>
    <w:p xmlns:wp14="http://schemas.microsoft.com/office/word/2010/wordml" w:rsidR="00E943D9" w:rsidP="00F40432" w:rsidRDefault="00E943D9" w14:paraId="34F1CB15" wp14:textId="77777777">
      <w:pPr>
        <w:ind w:right="-149"/>
        <w:jc w:val="both"/>
        <w:rPr>
          <w:rFonts w:ascii="Times New Roman" w:hAnsi="Times New Roman" w:cs="Times New Roman"/>
          <w:b/>
          <w:lang w:val="en-GB"/>
        </w:rPr>
      </w:pPr>
    </w:p>
    <w:p xmlns:wp14="http://schemas.microsoft.com/office/word/2010/wordml" w:rsidRPr="00CD4DAF" w:rsidR="0004001E" w:rsidP="00F40432" w:rsidRDefault="0004001E" w14:paraId="793C83AC" wp14:textId="77777777">
      <w:pPr>
        <w:ind w:right="-149"/>
        <w:jc w:val="both"/>
        <w:rPr>
          <w:rFonts w:ascii="Times New Roman" w:hAnsi="Times New Roman" w:cs="Times New Roman"/>
          <w:b/>
          <w:lang w:val="en-GB"/>
        </w:rPr>
      </w:pPr>
      <w:r w:rsidRPr="00CD4DAF">
        <w:rPr>
          <w:rFonts w:ascii="Times New Roman" w:hAnsi="Times New Roman" w:cs="Times New Roman"/>
          <w:b/>
          <w:lang w:val="en-GB"/>
        </w:rPr>
        <w:t>CASE STUD</w:t>
      </w:r>
      <w:r w:rsidRPr="00CD4DAF" w:rsidR="007031E1">
        <w:rPr>
          <w:rFonts w:ascii="Times New Roman" w:hAnsi="Times New Roman" w:cs="Times New Roman"/>
          <w:b/>
          <w:lang w:val="en-GB"/>
        </w:rPr>
        <w:t>Y</w:t>
      </w:r>
      <w:r w:rsidRPr="00CD4DAF">
        <w:rPr>
          <w:rFonts w:ascii="Times New Roman" w:hAnsi="Times New Roman" w:cs="Times New Roman"/>
          <w:b/>
          <w:lang w:val="en-GB"/>
        </w:rPr>
        <w:t xml:space="preserve"> FOR DISCUSSION [IN PLENARY OR BREAK-OUT GROUPS]</w:t>
      </w:r>
    </w:p>
    <w:p xmlns:wp14="http://schemas.microsoft.com/office/word/2010/wordml" w:rsidR="00F40432" w:rsidP="00F40432" w:rsidRDefault="00F40432" w14:paraId="74D4DA15" wp14:textId="77777777">
      <w:pPr>
        <w:ind w:right="-149"/>
        <w:jc w:val="both"/>
        <w:rPr>
          <w:rFonts w:ascii="Times New Roman" w:hAnsi="Times New Roman" w:cs="Times New Roman"/>
          <w:lang w:val="en-GB"/>
        </w:rPr>
      </w:pPr>
    </w:p>
    <w:p xmlns:wp14="http://schemas.microsoft.com/office/word/2010/wordml" w:rsidRPr="00F40432" w:rsidR="00F40432" w:rsidP="00F40432" w:rsidRDefault="000C26F8" w14:paraId="04E74702" wp14:textId="77777777">
      <w:pPr>
        <w:autoSpaceDE w:val="0"/>
        <w:autoSpaceDN w:val="0"/>
        <w:adjustRightInd w:val="0"/>
        <w:jc w:val="both"/>
        <w:rPr>
          <w:rFonts w:ascii="Times New Roman" w:hAnsi="Times New Roman" w:cs="Times New Roman"/>
          <w:b/>
          <w:color w:val="0070C0"/>
          <w:lang w:val="en-GB"/>
        </w:rPr>
      </w:pPr>
      <w:r>
        <w:rPr>
          <w:rFonts w:ascii="Times New Roman" w:hAnsi="Times New Roman" w:cs="Times New Roman"/>
          <w:b/>
          <w:color w:val="0070C0"/>
          <w:lang w:val="en-GB"/>
        </w:rPr>
        <w:t xml:space="preserve">MULTI-COUNTRY REGIONAL CORRIDORS: THE CASE OF THE GREATER MEKONG SUBREGION </w:t>
      </w:r>
      <w:r w:rsidR="00991FAE">
        <w:rPr>
          <w:rFonts w:ascii="Times New Roman" w:hAnsi="Times New Roman" w:cs="Times New Roman"/>
          <w:b/>
          <w:color w:val="0070C0"/>
          <w:lang w:val="en-GB"/>
        </w:rPr>
        <w:t>ECONOMIC COOPERATION PROGRAMME</w:t>
      </w:r>
    </w:p>
    <w:p xmlns:wp14="http://schemas.microsoft.com/office/word/2010/wordml" w:rsidRPr="00F40432" w:rsidR="00F40432" w:rsidP="00F40432" w:rsidRDefault="00F40432" w14:paraId="26214A86" wp14:textId="77777777">
      <w:pPr>
        <w:ind w:right="-149"/>
        <w:jc w:val="both"/>
        <w:rPr>
          <w:rFonts w:ascii="Times New Roman" w:hAnsi="Times New Roman" w:cs="Times New Roman"/>
          <w:lang w:val="en-GB"/>
        </w:rPr>
      </w:pPr>
    </w:p>
    <w:p xmlns:wp14="http://schemas.microsoft.com/office/word/2010/wordml" w:rsidRPr="00AC1EA0" w:rsidR="00AC1EA0" w:rsidP="00991FAE" w:rsidRDefault="00AC1EA0" w14:paraId="3DED665C" wp14:textId="77777777">
      <w:pPr>
        <w:pStyle w:val="NormalWeb"/>
        <w:shd w:val="clear" w:color="auto" w:fill="FFFFFF"/>
        <w:spacing w:before="0" w:beforeAutospacing="0" w:after="0" w:afterAutospacing="0"/>
        <w:jc w:val="both"/>
        <w:rPr>
          <w:rFonts w:ascii="Times New Roman" w:hAnsi="Times New Roman"/>
          <w:b/>
          <w:i/>
          <w:sz w:val="22"/>
          <w:szCs w:val="22"/>
          <w:lang w:val="en-GB"/>
        </w:rPr>
      </w:pPr>
      <w:r w:rsidRPr="00AC1EA0">
        <w:rPr>
          <w:rFonts w:ascii="Times New Roman" w:hAnsi="Times New Roman"/>
          <w:b/>
          <w:i/>
          <w:sz w:val="22"/>
          <w:szCs w:val="22"/>
          <w:lang w:val="en-GB"/>
        </w:rPr>
        <w:t>Background</w:t>
      </w:r>
    </w:p>
    <w:p xmlns:wp14="http://schemas.microsoft.com/office/word/2010/wordml" w:rsidR="00AC1EA0" w:rsidP="00991FAE" w:rsidRDefault="00AC1EA0" w14:paraId="6542A8E9" wp14:textId="77777777">
      <w:pPr>
        <w:pStyle w:val="NormalWeb"/>
        <w:shd w:val="clear" w:color="auto" w:fill="FFFFFF"/>
        <w:spacing w:before="0" w:beforeAutospacing="0" w:after="0" w:afterAutospacing="0"/>
        <w:jc w:val="both"/>
        <w:rPr>
          <w:rFonts w:ascii="Times New Roman" w:hAnsi="Times New Roman"/>
          <w:sz w:val="22"/>
          <w:szCs w:val="22"/>
          <w:lang w:val="en-GB"/>
        </w:rPr>
      </w:pPr>
    </w:p>
    <w:p xmlns:wp14="http://schemas.microsoft.com/office/word/2010/wordml" w:rsidR="00EA0F74" w:rsidP="00991FAE" w:rsidRDefault="00EA0F74" w14:paraId="6691D263"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r>
        <w:rPr>
          <w:noProof/>
          <w:lang w:val="en-GB" w:eastAsia="en-GB"/>
        </w:rPr>
        <w:drawing>
          <wp:anchor xmlns:wp14="http://schemas.microsoft.com/office/word/2010/wordprocessingDrawing" distT="0" distB="0" distL="114300" distR="114300" simplePos="0" relativeHeight="251664896" behindDoc="0" locked="0" layoutInCell="1" allowOverlap="1" wp14:anchorId="11DFC60E" wp14:editId="50BDD310">
            <wp:simplePos x="0" y="0"/>
            <wp:positionH relativeFrom="column">
              <wp:posOffset>1757045</wp:posOffset>
            </wp:positionH>
            <wp:positionV relativeFrom="paragraph">
              <wp:posOffset>17780</wp:posOffset>
            </wp:positionV>
            <wp:extent cx="3805555" cy="4352925"/>
            <wp:effectExtent l="19050" t="19050" r="2349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993" r="7226"/>
                    <a:stretch/>
                  </pic:blipFill>
                  <pic:spPr bwMode="auto">
                    <a:xfrm>
                      <a:off x="0" y="0"/>
                      <a:ext cx="3805555" cy="43529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7A6D" w:rsidR="00C13407">
        <w:rPr>
          <w:rFonts w:ascii="Times New Roman" w:hAnsi="Times New Roman"/>
          <w:sz w:val="22"/>
          <w:szCs w:val="22"/>
          <w:lang w:val="en-GB"/>
        </w:rPr>
        <w:t xml:space="preserve">The </w:t>
      </w:r>
      <w:r w:rsidRPr="00ED7A6D" w:rsidR="000C26F8">
        <w:rPr>
          <w:rFonts w:ascii="Times New Roman" w:hAnsi="Times New Roman"/>
          <w:sz w:val="22"/>
          <w:szCs w:val="22"/>
          <w:lang w:val="en-GB"/>
        </w:rPr>
        <w:t>Greater Mekong Subregion (GMS) corridor</w:t>
      </w:r>
      <w:r w:rsidRPr="00ED7A6D" w:rsidR="00991FAE">
        <w:rPr>
          <w:rFonts w:ascii="Times New Roman" w:hAnsi="Times New Roman"/>
          <w:sz w:val="22"/>
          <w:szCs w:val="22"/>
          <w:shd w:val="clear" w:color="auto" w:fill="FFFFFF"/>
          <w:lang w:val="en-GB"/>
        </w:rPr>
        <w:t xml:space="preserve"> is a regional economic cooperation initiative launched in 1992 by the Asian Development Bank (ADB), after two years of consultations with member countries to identify areas of collaboration for the programme. </w:t>
      </w:r>
    </w:p>
    <w:p xmlns:wp14="http://schemas.microsoft.com/office/word/2010/wordml" w:rsidR="00EA0F74" w:rsidP="00991FAE" w:rsidRDefault="00EA0F74" w14:paraId="04A9CF21"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p>
    <w:p xmlns:wp14="http://schemas.microsoft.com/office/word/2010/wordml" w:rsidRPr="00ED7A6D" w:rsidR="00991FAE" w:rsidP="00991FAE" w:rsidRDefault="00991FAE" w14:paraId="1101B4AE"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r w:rsidRPr="00ED7A6D">
        <w:rPr>
          <w:rFonts w:ascii="Times New Roman" w:hAnsi="Times New Roman"/>
          <w:sz w:val="22"/>
          <w:szCs w:val="22"/>
          <w:shd w:val="clear" w:color="auto" w:fill="FFFFFF"/>
          <w:lang w:val="en-GB"/>
        </w:rPr>
        <w:t xml:space="preserve">From 1994 to 1997, ADB undertook a number of detailed sector studies and feasibility studies for prioritized infrastructure components. Infrastructure projects began in 1998 through 2001. The 1997 Asian financial crisis served as a turning-point for the initiative, strengthening commitment from member countries to develop the </w:t>
      </w:r>
      <w:proofErr w:type="spellStart"/>
      <w:r w:rsidRPr="00ED7A6D">
        <w:rPr>
          <w:rFonts w:ascii="Times New Roman" w:hAnsi="Times New Roman"/>
          <w:sz w:val="22"/>
          <w:szCs w:val="22"/>
          <w:shd w:val="clear" w:color="auto" w:fill="FFFFFF"/>
          <w:lang w:val="en-GB"/>
        </w:rPr>
        <w:t>subregion</w:t>
      </w:r>
      <w:proofErr w:type="spellEnd"/>
      <w:r w:rsidRPr="00ED7A6D">
        <w:rPr>
          <w:rFonts w:ascii="Times New Roman" w:hAnsi="Times New Roman"/>
          <w:sz w:val="22"/>
          <w:szCs w:val="22"/>
          <w:shd w:val="clear" w:color="auto" w:fill="FFFFFF"/>
          <w:lang w:val="en-GB"/>
        </w:rPr>
        <w:t xml:space="preserve"> as a centre for economic growth. </w:t>
      </w:r>
    </w:p>
    <w:p xmlns:wp14="http://schemas.microsoft.com/office/word/2010/wordml" w:rsidRPr="00ED7A6D" w:rsidR="00991FAE" w:rsidP="00991FAE" w:rsidRDefault="00991FAE" w14:paraId="4C2A62CE"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p>
    <w:p xmlns:wp14="http://schemas.microsoft.com/office/word/2010/wordml" w:rsidR="00EA0F74" w:rsidP="00991FAE" w:rsidRDefault="00EA0F74" w14:paraId="5B47E7B3"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p>
    <w:p xmlns:wp14="http://schemas.microsoft.com/office/word/2010/wordml" w:rsidR="00EA0F74" w:rsidP="00991FAE" w:rsidRDefault="00991FAE" w14:paraId="3FFAED90"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r w:rsidRPr="00ED7A6D">
        <w:rPr>
          <w:rFonts w:ascii="Times New Roman" w:hAnsi="Times New Roman"/>
          <w:sz w:val="22"/>
          <w:szCs w:val="22"/>
          <w:shd w:val="clear" w:color="auto" w:fill="FFFFFF"/>
          <w:lang w:val="en-GB"/>
        </w:rPr>
        <w:t xml:space="preserve">The corridor spans six countries: Cambodia, Lao PDR, Myanmar, China (Yunnan province and Guangxi Zhuang Autonomous Region), Thailand and Viet Nam (ADB, 2014). </w:t>
      </w:r>
      <w:r w:rsidR="00021715">
        <w:rPr>
          <w:rFonts w:ascii="Times New Roman" w:hAnsi="Times New Roman"/>
          <w:sz w:val="22"/>
          <w:szCs w:val="22"/>
          <w:shd w:val="clear" w:color="auto" w:fill="FFFFFF"/>
          <w:lang w:val="en-GB"/>
        </w:rPr>
        <w:t>It covers</w:t>
      </w:r>
      <w:r w:rsidRPr="00ED7A6D">
        <w:rPr>
          <w:rFonts w:ascii="Times New Roman" w:hAnsi="Times New Roman"/>
          <w:sz w:val="22"/>
          <w:szCs w:val="22"/>
          <w:shd w:val="clear" w:color="auto" w:fill="FFFFFF"/>
          <w:lang w:val="en-GB"/>
        </w:rPr>
        <w:t xml:space="preserve"> 2.6 million km</w:t>
      </w:r>
      <w:r w:rsidRPr="00ED7A6D">
        <w:rPr>
          <w:rFonts w:ascii="Times New Roman" w:hAnsi="Times New Roman"/>
          <w:sz w:val="22"/>
          <w:szCs w:val="22"/>
          <w:shd w:val="clear" w:color="auto" w:fill="FFFFFF"/>
          <w:vertAlign w:val="superscript"/>
          <w:lang w:val="en-GB"/>
        </w:rPr>
        <w:t>2</w:t>
      </w:r>
      <w:r w:rsidRPr="00ED7A6D">
        <w:rPr>
          <w:rFonts w:ascii="Times New Roman" w:hAnsi="Times New Roman"/>
          <w:sz w:val="22"/>
          <w:szCs w:val="22"/>
          <w:shd w:val="clear" w:color="auto" w:fill="FFFFFF"/>
          <w:lang w:val="en-GB"/>
        </w:rPr>
        <w:t xml:space="preserve"> and a combined population of 326 million (ADB, 2012b). The region encompasses </w:t>
      </w:r>
      <w:r w:rsidRPr="00ED7A6D">
        <w:rPr>
          <w:rFonts w:ascii="Times New Roman" w:hAnsi="Times New Roman"/>
          <w:sz w:val="22"/>
          <w:szCs w:val="22"/>
          <w:lang w:val="en-GB"/>
        </w:rPr>
        <w:t>ancient trade routes established more than 1 200 years ago by Chinese tea merchants along the Mekong River delta that over time have been constrained by deteriorating and lack of transport infrastructure (ADB, 2014).</w:t>
      </w:r>
      <w:r w:rsidRPr="00ED7A6D">
        <w:rPr>
          <w:rFonts w:ascii="Times New Roman" w:hAnsi="Times New Roman"/>
          <w:sz w:val="22"/>
          <w:szCs w:val="22"/>
          <w:shd w:val="clear" w:color="auto" w:fill="FFFFFF"/>
          <w:lang w:val="en-GB"/>
        </w:rPr>
        <w:t xml:space="preserve"> </w:t>
      </w:r>
    </w:p>
    <w:p xmlns:wp14="http://schemas.microsoft.com/office/word/2010/wordml" w:rsidR="00EA0F74" w:rsidP="00991FAE" w:rsidRDefault="00EA0F74" w14:paraId="3813F632"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p>
    <w:p xmlns:wp14="http://schemas.microsoft.com/office/word/2010/wordml" w:rsidRPr="00ED7A6D" w:rsidR="00991FAE" w:rsidP="00991FAE" w:rsidRDefault="00991FAE" w14:paraId="2716662F"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r w:rsidRPr="00ED7A6D">
        <w:rPr>
          <w:rFonts w:ascii="Times New Roman" w:hAnsi="Times New Roman"/>
          <w:sz w:val="22"/>
          <w:szCs w:val="22"/>
          <w:shd w:val="clear" w:color="auto" w:fill="FFFFFF"/>
          <w:lang w:val="en-GB"/>
        </w:rPr>
        <w:t xml:space="preserve">Over the past 20 years, GMS countries have collaborated to strengthen regional infrastructure and trade linkages in an effort to reduce poverty and strengthen the region’s economy. </w:t>
      </w:r>
    </w:p>
    <w:p xmlns:wp14="http://schemas.microsoft.com/office/word/2010/wordml" w:rsidRPr="00ED7A6D" w:rsidR="00991FAE" w:rsidP="00991FAE" w:rsidRDefault="00991FAE" w14:paraId="6F699239"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p>
    <w:p xmlns:wp14="http://schemas.microsoft.com/office/word/2010/wordml" w:rsidR="00991FAE" w:rsidP="00991FAE" w:rsidRDefault="00021715" w14:paraId="1D05C3F0" wp14:textId="77777777">
      <w:pPr>
        <w:pStyle w:val="NormalWeb"/>
        <w:shd w:val="clear" w:color="auto" w:fill="FFFFFF"/>
        <w:spacing w:before="0" w:beforeAutospacing="0" w:after="0" w:afterAutospacing="0"/>
        <w:jc w:val="both"/>
        <w:rPr>
          <w:rFonts w:ascii="Times New Roman" w:hAnsi="Times New Roman"/>
          <w:sz w:val="22"/>
          <w:szCs w:val="22"/>
          <w:shd w:val="clear" w:color="auto" w:fill="FFFFFF"/>
          <w:lang w:val="en-GB"/>
        </w:rPr>
      </w:pPr>
      <w:r>
        <w:rPr>
          <w:rFonts w:ascii="Times New Roman" w:hAnsi="Times New Roman"/>
          <w:sz w:val="22"/>
          <w:szCs w:val="22"/>
          <w:shd w:val="clear" w:color="auto" w:fill="FFFFFF"/>
          <w:lang w:val="en-GB"/>
        </w:rPr>
        <w:t xml:space="preserve">The </w:t>
      </w:r>
      <w:r w:rsidRPr="00ED7A6D" w:rsidR="00991FAE">
        <w:rPr>
          <w:rFonts w:ascii="Times New Roman" w:hAnsi="Times New Roman"/>
          <w:sz w:val="22"/>
          <w:szCs w:val="22"/>
          <w:shd w:val="clear" w:color="auto" w:fill="FFFFFF"/>
          <w:lang w:val="en-GB"/>
        </w:rPr>
        <w:t>GMS programme targets development along nine corridors incorporating road, rail and waterways. Of these, three are considered the primary corridors in the region</w:t>
      </w:r>
      <w:r w:rsidRPr="00ED7A6D" w:rsidR="00F614F9">
        <w:rPr>
          <w:rFonts w:ascii="Times New Roman" w:hAnsi="Times New Roman"/>
          <w:sz w:val="22"/>
          <w:szCs w:val="22"/>
          <w:shd w:val="clear" w:color="auto" w:fill="FFFFFF"/>
          <w:lang w:val="en-GB"/>
        </w:rPr>
        <w:t>:</w:t>
      </w:r>
    </w:p>
    <w:p xmlns:wp14="http://schemas.microsoft.com/office/word/2010/wordml" w:rsidRPr="00ED7A6D" w:rsidR="00991FAE" w:rsidP="00991FAE" w:rsidRDefault="00991FAE" w14:paraId="68499B51" wp14:textId="77777777">
      <w:pPr>
        <w:pStyle w:val="NormalWeb"/>
        <w:numPr>
          <w:ilvl w:val="0"/>
          <w:numId w:val="5"/>
        </w:numPr>
        <w:shd w:val="clear" w:color="auto" w:fill="FFFFFF"/>
        <w:spacing w:before="0" w:beforeAutospacing="0" w:after="0" w:afterAutospacing="0"/>
        <w:ind w:left="432"/>
        <w:jc w:val="both"/>
        <w:rPr>
          <w:rFonts w:ascii="Times New Roman" w:hAnsi="Times New Roman"/>
          <w:sz w:val="22"/>
          <w:szCs w:val="22"/>
          <w:lang w:val="en-GB"/>
        </w:rPr>
      </w:pPr>
      <w:r w:rsidRPr="00ED7A6D">
        <w:rPr>
          <w:rFonts w:ascii="Times New Roman" w:hAnsi="Times New Roman"/>
          <w:i/>
          <w:iCs/>
          <w:sz w:val="22"/>
          <w:szCs w:val="22"/>
          <w:lang w:val="en-GB"/>
        </w:rPr>
        <w:lastRenderedPageBreak/>
        <w:t>North-South Economic Corridor</w:t>
      </w:r>
      <w:r w:rsidRPr="00ED7A6D">
        <w:rPr>
          <w:rFonts w:ascii="Times New Roman" w:hAnsi="Times New Roman"/>
          <w:sz w:val="22"/>
          <w:szCs w:val="22"/>
          <w:lang w:val="en-GB"/>
        </w:rPr>
        <w:t xml:space="preserve">, with its three </w:t>
      </w:r>
      <w:proofErr w:type="spellStart"/>
      <w:r w:rsidRPr="00ED7A6D">
        <w:rPr>
          <w:rFonts w:ascii="Times New Roman" w:hAnsi="Times New Roman"/>
          <w:sz w:val="22"/>
          <w:szCs w:val="22"/>
          <w:lang w:val="en-GB"/>
        </w:rPr>
        <w:t>subcorridors</w:t>
      </w:r>
      <w:proofErr w:type="spellEnd"/>
      <w:r w:rsidRPr="00ED7A6D">
        <w:rPr>
          <w:rFonts w:ascii="Times New Roman" w:hAnsi="Times New Roman"/>
          <w:sz w:val="22"/>
          <w:szCs w:val="22"/>
          <w:lang w:val="en-GB"/>
        </w:rPr>
        <w:t xml:space="preserve">: Kunming-Bangkok via the Lao PDR or Myanmar; Kunming-Ha </w:t>
      </w:r>
      <w:proofErr w:type="spellStart"/>
      <w:r w:rsidRPr="00ED7A6D">
        <w:rPr>
          <w:rFonts w:ascii="Times New Roman" w:hAnsi="Times New Roman"/>
          <w:sz w:val="22"/>
          <w:szCs w:val="22"/>
          <w:lang w:val="en-GB"/>
        </w:rPr>
        <w:t>Noi</w:t>
      </w:r>
      <w:proofErr w:type="spellEnd"/>
      <w:r w:rsidRPr="00ED7A6D">
        <w:rPr>
          <w:rFonts w:ascii="Times New Roman" w:hAnsi="Times New Roman"/>
          <w:sz w:val="22"/>
          <w:szCs w:val="22"/>
          <w:lang w:val="en-GB"/>
        </w:rPr>
        <w:t xml:space="preserve">-Hai </w:t>
      </w:r>
      <w:proofErr w:type="spellStart"/>
      <w:r w:rsidRPr="00ED7A6D">
        <w:rPr>
          <w:rFonts w:ascii="Times New Roman" w:hAnsi="Times New Roman"/>
          <w:sz w:val="22"/>
          <w:szCs w:val="22"/>
          <w:lang w:val="en-GB"/>
        </w:rPr>
        <w:t>Phong</w:t>
      </w:r>
      <w:proofErr w:type="spellEnd"/>
      <w:r w:rsidRPr="00ED7A6D">
        <w:rPr>
          <w:rFonts w:ascii="Times New Roman" w:hAnsi="Times New Roman"/>
          <w:sz w:val="22"/>
          <w:szCs w:val="22"/>
          <w:lang w:val="en-GB"/>
        </w:rPr>
        <w:t xml:space="preserve">; and Nanning-Ha </w:t>
      </w:r>
      <w:proofErr w:type="spellStart"/>
      <w:r w:rsidRPr="00ED7A6D">
        <w:rPr>
          <w:rFonts w:ascii="Times New Roman" w:hAnsi="Times New Roman"/>
          <w:sz w:val="22"/>
          <w:szCs w:val="22"/>
          <w:lang w:val="en-GB"/>
        </w:rPr>
        <w:t>Noi</w:t>
      </w:r>
      <w:proofErr w:type="spellEnd"/>
      <w:r w:rsidRPr="00ED7A6D">
        <w:rPr>
          <w:rFonts w:ascii="Times New Roman" w:hAnsi="Times New Roman"/>
          <w:sz w:val="22"/>
          <w:szCs w:val="22"/>
          <w:lang w:val="en-GB"/>
        </w:rPr>
        <w:t xml:space="preserve">. The corridor is virtually complete, except for a bridge between the Lao PDR and Thailand, which is under construction. </w:t>
      </w:r>
    </w:p>
    <w:p xmlns:wp14="http://schemas.microsoft.com/office/word/2010/wordml" w:rsidRPr="00ED7A6D" w:rsidR="00991FAE" w:rsidP="00991FAE" w:rsidRDefault="00991FAE" w14:paraId="558FE5B7" wp14:textId="77777777">
      <w:pPr>
        <w:pStyle w:val="NormalWeb"/>
        <w:numPr>
          <w:ilvl w:val="0"/>
          <w:numId w:val="5"/>
        </w:numPr>
        <w:shd w:val="clear" w:color="auto" w:fill="FFFFFF"/>
        <w:spacing w:before="0" w:beforeAutospacing="0" w:after="0" w:afterAutospacing="0"/>
        <w:ind w:left="426"/>
        <w:jc w:val="both"/>
        <w:rPr>
          <w:rFonts w:ascii="Times New Roman" w:hAnsi="Times New Roman"/>
          <w:sz w:val="22"/>
          <w:szCs w:val="22"/>
          <w:lang w:val="en-GB"/>
        </w:rPr>
      </w:pPr>
      <w:r w:rsidRPr="00ED7A6D">
        <w:rPr>
          <w:rFonts w:ascii="Times New Roman" w:hAnsi="Times New Roman"/>
          <w:i/>
          <w:iCs/>
          <w:sz w:val="22"/>
          <w:szCs w:val="22"/>
          <w:lang w:val="en-GB"/>
        </w:rPr>
        <w:t>East-West Economic Corridor</w:t>
      </w:r>
      <w:r w:rsidRPr="00ED7A6D">
        <w:rPr>
          <w:rFonts w:ascii="Times New Roman" w:hAnsi="Times New Roman"/>
          <w:sz w:val="22"/>
          <w:szCs w:val="22"/>
          <w:lang w:val="en-GB"/>
        </w:rPr>
        <w:t xml:space="preserve">, the only direct and continuous land route across mainland Southeast Asia. </w:t>
      </w:r>
    </w:p>
    <w:p xmlns:wp14="http://schemas.microsoft.com/office/word/2010/wordml" w:rsidRPr="00ED7A6D" w:rsidR="00991FAE" w:rsidP="00991FAE" w:rsidRDefault="00991FAE" w14:paraId="276859EE" wp14:textId="77777777">
      <w:pPr>
        <w:pStyle w:val="NormalWeb"/>
        <w:numPr>
          <w:ilvl w:val="0"/>
          <w:numId w:val="5"/>
        </w:numPr>
        <w:shd w:val="clear" w:color="auto" w:fill="FFFFFF"/>
        <w:autoSpaceDE w:val="0"/>
        <w:autoSpaceDN w:val="0"/>
        <w:adjustRightInd w:val="0"/>
        <w:spacing w:before="0" w:beforeAutospacing="0" w:after="0" w:afterAutospacing="0"/>
        <w:ind w:left="426"/>
        <w:jc w:val="both"/>
        <w:rPr>
          <w:rFonts w:ascii="Times New Roman" w:hAnsi="Times New Roman"/>
          <w:lang w:val="en-GB"/>
        </w:rPr>
      </w:pPr>
      <w:r w:rsidRPr="00ED7A6D">
        <w:rPr>
          <w:rFonts w:ascii="Times New Roman" w:hAnsi="Times New Roman"/>
          <w:i/>
          <w:iCs/>
          <w:sz w:val="22"/>
          <w:szCs w:val="22"/>
          <w:lang w:val="en-GB"/>
        </w:rPr>
        <w:t>Southern Economic Corridor</w:t>
      </w:r>
      <w:r w:rsidRPr="00ED7A6D">
        <w:rPr>
          <w:rFonts w:ascii="Times New Roman" w:hAnsi="Times New Roman"/>
          <w:sz w:val="22"/>
          <w:szCs w:val="22"/>
          <w:lang w:val="en-GB"/>
        </w:rPr>
        <w:t xml:space="preserve">, which runs through southern Thailand, Cambodia and southern Viet Nam (linking Bangkok to Phnom Penh, and then to </w:t>
      </w:r>
      <w:proofErr w:type="spellStart"/>
      <w:r w:rsidRPr="00ED7A6D">
        <w:rPr>
          <w:rFonts w:ascii="Times New Roman" w:hAnsi="Times New Roman"/>
          <w:sz w:val="22"/>
          <w:szCs w:val="22"/>
          <w:lang w:val="en-GB"/>
        </w:rPr>
        <w:t>Ho</w:t>
      </w:r>
      <w:proofErr w:type="spellEnd"/>
      <w:r w:rsidRPr="00ED7A6D">
        <w:rPr>
          <w:rFonts w:ascii="Times New Roman" w:hAnsi="Times New Roman"/>
          <w:sz w:val="22"/>
          <w:szCs w:val="22"/>
          <w:lang w:val="en-GB"/>
        </w:rPr>
        <w:t xml:space="preserve"> Chi Minh City).</w:t>
      </w:r>
    </w:p>
    <w:p xmlns:wp14="http://schemas.microsoft.com/office/word/2010/wordml" w:rsidR="00AC1EA0" w:rsidP="00ED7A6D" w:rsidRDefault="00AC1EA0" w14:paraId="09AF57E3" wp14:textId="77777777">
      <w:pPr>
        <w:autoSpaceDE w:val="0"/>
        <w:autoSpaceDN w:val="0"/>
        <w:adjustRightInd w:val="0"/>
        <w:jc w:val="both"/>
        <w:rPr>
          <w:rFonts w:ascii="Times New Roman" w:hAnsi="Times New Roman" w:eastAsia="Calibri" w:cs="Times New Roman"/>
          <w:sz w:val="22"/>
          <w:szCs w:val="22"/>
          <w:lang w:val="en-GB"/>
        </w:rPr>
      </w:pPr>
    </w:p>
    <w:p xmlns:wp14="http://schemas.microsoft.com/office/word/2010/wordml" w:rsidRPr="00ED7A6D" w:rsidR="00ED7A6D" w:rsidP="00ED7A6D" w:rsidRDefault="00ED7A6D" w14:paraId="7D3D1A2F" wp14:textId="77777777">
      <w:pPr>
        <w:autoSpaceDE w:val="0"/>
        <w:autoSpaceDN w:val="0"/>
        <w:adjustRightInd w:val="0"/>
        <w:jc w:val="both"/>
        <w:rPr>
          <w:rFonts w:ascii="Times New Roman" w:hAnsi="Times New Roman" w:eastAsia="Calibri" w:cs="Times New Roman"/>
          <w:sz w:val="22"/>
          <w:szCs w:val="22"/>
          <w:shd w:val="clear" w:color="auto" w:fill="FFFFFF"/>
          <w:lang w:val="en-GB"/>
        </w:rPr>
      </w:pPr>
      <w:r w:rsidRPr="00ED7A6D">
        <w:rPr>
          <w:rFonts w:ascii="Times New Roman" w:hAnsi="Times New Roman" w:eastAsia="Calibri" w:cs="Times New Roman"/>
          <w:sz w:val="22"/>
          <w:szCs w:val="22"/>
          <w:lang w:val="en-GB"/>
        </w:rPr>
        <w:t xml:space="preserve">GMS provides a forum to prioritize sectors and target investments accordingly, while recognizing that the private sector is ultimately the engine for growth. </w:t>
      </w:r>
      <w:r w:rsidRPr="00ED7A6D">
        <w:rPr>
          <w:rFonts w:ascii="Times New Roman" w:hAnsi="Times New Roman" w:eastAsia="Calibri" w:cs="Times New Roman"/>
          <w:sz w:val="22"/>
          <w:szCs w:val="22"/>
          <w:shd w:val="clear" w:color="auto" w:fill="FFFFFF"/>
          <w:lang w:val="en-GB"/>
        </w:rPr>
        <w:t>Agriculture, inclusive of production, post-harvest handling and agroprocessing, became a prioritized economic sector during the 10</w:t>
      </w:r>
      <w:r w:rsidRPr="00ED7A6D">
        <w:rPr>
          <w:rFonts w:ascii="Times New Roman" w:hAnsi="Times New Roman" w:cs="Times New Roman"/>
          <w:sz w:val="22"/>
          <w:szCs w:val="22"/>
          <w:shd w:val="clear" w:color="auto" w:fill="FFFFFF"/>
          <w:lang w:val="en-GB"/>
        </w:rPr>
        <w:t>th</w:t>
      </w:r>
      <w:r w:rsidRPr="00ED7A6D">
        <w:rPr>
          <w:rFonts w:ascii="Times New Roman" w:hAnsi="Times New Roman" w:eastAsia="Calibri" w:cs="Times New Roman"/>
          <w:sz w:val="22"/>
          <w:szCs w:val="22"/>
          <w:shd w:val="clear" w:color="auto" w:fill="FFFFFF"/>
          <w:lang w:val="en-GB"/>
        </w:rPr>
        <w:t xml:space="preserve"> GMS Ministerial Meeting in Yangon </w:t>
      </w:r>
      <w:r w:rsidRPr="00ED7A6D">
        <w:rPr>
          <w:rFonts w:ascii="Times New Roman" w:hAnsi="Times New Roman" w:cs="Times New Roman"/>
          <w:sz w:val="22"/>
          <w:szCs w:val="22"/>
          <w:shd w:val="clear" w:color="auto" w:fill="FFFFFF"/>
          <w:lang w:val="en-GB"/>
        </w:rPr>
        <w:t>p</w:t>
      </w:r>
      <w:r w:rsidRPr="00ED7A6D">
        <w:rPr>
          <w:rFonts w:ascii="Times New Roman" w:hAnsi="Times New Roman" w:eastAsia="Calibri" w:cs="Times New Roman"/>
          <w:sz w:val="22"/>
          <w:szCs w:val="22"/>
          <w:shd w:val="clear" w:color="auto" w:fill="FFFFFF"/>
          <w:lang w:val="en-GB"/>
        </w:rPr>
        <w:t xml:space="preserve">rovince, </w:t>
      </w:r>
      <w:r w:rsidRPr="00ED7A6D">
        <w:rPr>
          <w:rFonts w:ascii="Times New Roman" w:hAnsi="Times New Roman" w:cs="Times New Roman"/>
          <w:sz w:val="22"/>
          <w:szCs w:val="22"/>
          <w:shd w:val="clear" w:color="auto" w:fill="FFFFFF"/>
          <w:lang w:val="en-GB"/>
        </w:rPr>
        <w:t>China</w:t>
      </w:r>
      <w:r w:rsidRPr="00ED7A6D">
        <w:rPr>
          <w:rFonts w:ascii="Times New Roman" w:hAnsi="Times New Roman" w:eastAsia="Calibri" w:cs="Times New Roman"/>
          <w:sz w:val="22"/>
          <w:szCs w:val="22"/>
          <w:shd w:val="clear" w:color="auto" w:fill="FFFFFF"/>
          <w:lang w:val="en-GB"/>
        </w:rPr>
        <w:t xml:space="preserve"> in 2001 (ADB, 2012a). In 2007, the Working Group on Agriculture endorsed ADB’s flagship Core Agriculture Support Program (CASP), which aims to expand cross-border trade in food products. CASP Phase II (2011</w:t>
      </w:r>
      <w:r w:rsidRPr="00ED7A6D">
        <w:rPr>
          <w:rFonts w:ascii="Times New Roman" w:hAnsi="Times New Roman" w:cs="Times New Roman"/>
          <w:sz w:val="22"/>
          <w:szCs w:val="22"/>
          <w:shd w:val="clear" w:color="auto" w:fill="FFFFFF"/>
          <w:lang w:val="en-GB"/>
        </w:rPr>
        <w:t>–</w:t>
      </w:r>
      <w:r w:rsidRPr="00ED7A6D">
        <w:rPr>
          <w:rFonts w:ascii="Times New Roman" w:hAnsi="Times New Roman" w:eastAsia="Calibri" w:cs="Times New Roman"/>
          <w:sz w:val="22"/>
          <w:szCs w:val="22"/>
          <w:shd w:val="clear" w:color="auto" w:fill="FFFFFF"/>
          <w:lang w:val="en-GB"/>
        </w:rPr>
        <w:t xml:space="preserve">2015) </w:t>
      </w:r>
      <w:r w:rsidRPr="00ED7A6D">
        <w:rPr>
          <w:rFonts w:ascii="Times New Roman" w:hAnsi="Times New Roman" w:cs="Times New Roman"/>
          <w:sz w:val="22"/>
          <w:szCs w:val="22"/>
          <w:shd w:val="clear" w:color="auto" w:fill="FFFFFF"/>
          <w:lang w:val="en-GB"/>
        </w:rPr>
        <w:t>gave</w:t>
      </w:r>
      <w:r w:rsidRPr="00ED7A6D">
        <w:rPr>
          <w:rFonts w:ascii="Times New Roman" w:hAnsi="Times New Roman" w:eastAsia="Calibri" w:cs="Times New Roman"/>
          <w:sz w:val="22"/>
          <w:szCs w:val="22"/>
          <w:shd w:val="clear" w:color="auto" w:fill="FFFFFF"/>
          <w:lang w:val="en-GB"/>
        </w:rPr>
        <w:t xml:space="preserve"> emphasis </w:t>
      </w:r>
      <w:r w:rsidRPr="00ED7A6D">
        <w:rPr>
          <w:rFonts w:ascii="Times New Roman" w:hAnsi="Times New Roman" w:cs="Times New Roman"/>
          <w:sz w:val="22"/>
          <w:szCs w:val="22"/>
          <w:shd w:val="clear" w:color="auto" w:fill="FFFFFF"/>
          <w:lang w:val="en-GB"/>
        </w:rPr>
        <w:t>to</w:t>
      </w:r>
      <w:r w:rsidRPr="00ED7A6D">
        <w:rPr>
          <w:rFonts w:ascii="Times New Roman" w:hAnsi="Times New Roman" w:eastAsia="Calibri" w:cs="Times New Roman"/>
          <w:sz w:val="22"/>
          <w:szCs w:val="22"/>
          <w:shd w:val="clear" w:color="auto" w:fill="FFFFFF"/>
          <w:lang w:val="en-GB"/>
        </w:rPr>
        <w:t xml:space="preserve"> improving </w:t>
      </w:r>
      <w:proofErr w:type="spellStart"/>
      <w:r w:rsidRPr="00ED7A6D">
        <w:rPr>
          <w:rFonts w:ascii="Times New Roman" w:hAnsi="Times New Roman" w:eastAsia="Calibri" w:cs="Times New Roman"/>
          <w:sz w:val="22"/>
          <w:szCs w:val="22"/>
          <w:shd w:val="clear" w:color="auto" w:fill="FFFFFF"/>
          <w:lang w:val="en-GB"/>
        </w:rPr>
        <w:t>subregion</w:t>
      </w:r>
      <w:proofErr w:type="spellEnd"/>
      <w:r w:rsidRPr="00ED7A6D">
        <w:rPr>
          <w:rFonts w:ascii="Times New Roman" w:hAnsi="Times New Roman" w:eastAsia="Calibri" w:cs="Times New Roman"/>
          <w:sz w:val="22"/>
          <w:szCs w:val="22"/>
          <w:shd w:val="clear" w:color="auto" w:fill="FFFFFF"/>
          <w:lang w:val="en-GB"/>
        </w:rPr>
        <w:t xml:space="preserve"> competitiveness for agro-industry and ensuring </w:t>
      </w:r>
      <w:r w:rsidRPr="00ED7A6D">
        <w:rPr>
          <w:rFonts w:ascii="Times New Roman" w:hAnsi="Times New Roman" w:cs="Times New Roman"/>
          <w:sz w:val="22"/>
          <w:szCs w:val="22"/>
          <w:shd w:val="clear" w:color="auto" w:fill="FFFFFF"/>
          <w:lang w:val="en-GB"/>
        </w:rPr>
        <w:t xml:space="preserve">that </w:t>
      </w:r>
      <w:r w:rsidRPr="00ED7A6D">
        <w:rPr>
          <w:rFonts w:ascii="Times New Roman" w:hAnsi="Times New Roman" w:eastAsia="Calibri" w:cs="Times New Roman"/>
          <w:sz w:val="22"/>
          <w:szCs w:val="22"/>
          <w:shd w:val="clear" w:color="auto" w:fill="FFFFFF"/>
          <w:lang w:val="en-GB"/>
        </w:rPr>
        <w:t>growth is climate</w:t>
      </w:r>
      <w:r w:rsidRPr="00ED7A6D">
        <w:rPr>
          <w:rFonts w:ascii="Times New Roman" w:hAnsi="Times New Roman" w:cs="Times New Roman"/>
          <w:sz w:val="22"/>
          <w:szCs w:val="22"/>
          <w:shd w:val="clear" w:color="auto" w:fill="FFFFFF"/>
          <w:lang w:val="en-GB"/>
        </w:rPr>
        <w:t xml:space="preserve"> </w:t>
      </w:r>
      <w:r w:rsidRPr="00ED7A6D">
        <w:rPr>
          <w:rFonts w:ascii="Times New Roman" w:hAnsi="Times New Roman" w:eastAsia="Calibri" w:cs="Times New Roman"/>
          <w:sz w:val="22"/>
          <w:szCs w:val="22"/>
          <w:shd w:val="clear" w:color="auto" w:fill="FFFFFF"/>
          <w:lang w:val="en-GB"/>
        </w:rPr>
        <w:t>resilient (ADB, 2011).</w:t>
      </w:r>
      <w:r w:rsidRPr="00ED7A6D">
        <w:rPr>
          <w:rFonts w:ascii="Times New Roman" w:hAnsi="Times New Roman" w:cs="Times New Roman"/>
          <w:sz w:val="22"/>
          <w:szCs w:val="22"/>
          <w:shd w:val="clear" w:color="auto" w:fill="FFFFFF"/>
          <w:lang w:val="en-GB"/>
        </w:rPr>
        <w:t xml:space="preserve"> </w:t>
      </w:r>
    </w:p>
    <w:p xmlns:wp14="http://schemas.microsoft.com/office/word/2010/wordml" w:rsidRPr="00ED7A6D" w:rsidR="00ED7A6D" w:rsidP="00ED7A6D" w:rsidRDefault="00ED7A6D" w14:paraId="1270971D" wp14:textId="77777777">
      <w:pPr>
        <w:autoSpaceDE w:val="0"/>
        <w:autoSpaceDN w:val="0"/>
        <w:adjustRightInd w:val="0"/>
        <w:jc w:val="both"/>
        <w:rPr>
          <w:rFonts w:ascii="Times New Roman" w:hAnsi="Times New Roman" w:cs="Times New Roman"/>
          <w:sz w:val="22"/>
          <w:szCs w:val="22"/>
          <w:lang w:val="en-GB"/>
        </w:rPr>
      </w:pPr>
    </w:p>
    <w:p xmlns:wp14="http://schemas.microsoft.com/office/word/2010/wordml" w:rsidRPr="00AC1EA0" w:rsidR="00AC1EA0" w:rsidP="00ED7A6D" w:rsidRDefault="00AC1EA0" w14:paraId="09FCCF54" wp14:textId="77777777">
      <w:pPr>
        <w:jc w:val="both"/>
        <w:rPr>
          <w:rFonts w:ascii="Times New Roman" w:hAnsi="Times New Roman" w:eastAsia="Calibri" w:cs="Times New Roman"/>
          <w:b/>
          <w:bCs/>
          <w:i/>
          <w:sz w:val="22"/>
          <w:szCs w:val="22"/>
          <w:lang w:val="en-GB" w:eastAsia="en-US"/>
        </w:rPr>
      </w:pPr>
      <w:r w:rsidRPr="00AC1EA0">
        <w:rPr>
          <w:rFonts w:ascii="Times New Roman" w:hAnsi="Times New Roman" w:eastAsia="Calibri" w:cs="Times New Roman"/>
          <w:b/>
          <w:bCs/>
          <w:i/>
          <w:sz w:val="22"/>
          <w:szCs w:val="22"/>
          <w:lang w:val="en-GB" w:eastAsia="en-US"/>
        </w:rPr>
        <w:t>Hard and soft interventions</w:t>
      </w:r>
    </w:p>
    <w:p xmlns:wp14="http://schemas.microsoft.com/office/word/2010/wordml" w:rsidR="00AC1EA0" w:rsidP="00ED7A6D" w:rsidRDefault="00AC1EA0" w14:paraId="6D301678" wp14:textId="77777777">
      <w:pPr>
        <w:jc w:val="both"/>
        <w:rPr>
          <w:rFonts w:ascii="Times New Roman" w:hAnsi="Times New Roman" w:eastAsia="Calibri" w:cs="Times New Roman"/>
          <w:bCs/>
          <w:sz w:val="22"/>
          <w:szCs w:val="22"/>
          <w:lang w:val="en-GB" w:eastAsia="en-US"/>
        </w:rPr>
      </w:pPr>
    </w:p>
    <w:p xmlns:wp14="http://schemas.microsoft.com/office/word/2010/wordml" w:rsidR="00A53290" w:rsidP="00ED7A6D" w:rsidRDefault="006961DA" w14:paraId="3C661D8F" wp14:textId="77777777">
      <w:pPr>
        <w:jc w:val="both"/>
        <w:rPr>
          <w:rFonts w:ascii="Times New Roman" w:hAnsi="Times New Roman" w:eastAsia="Calibri" w:cs="Times New Roman"/>
          <w:bCs/>
          <w:sz w:val="22"/>
          <w:szCs w:val="22"/>
          <w:lang w:val="en-GB" w:eastAsia="en-US"/>
        </w:rPr>
      </w:pPr>
      <w:r w:rsidRPr="006961DA">
        <w:rPr>
          <w:rFonts w:ascii="Times New Roman" w:hAnsi="Times New Roman" w:eastAsia="Calibri" w:cs="Times New Roman"/>
          <w:bCs/>
          <w:sz w:val="22"/>
          <w:szCs w:val="22"/>
          <w:lang w:val="en-GB" w:eastAsia="en-US"/>
        </w:rPr>
        <w:t xml:space="preserve">GMS gave priority to infrastructural projects, and particularly to road networks improvement, spending US$10 billion (by the end of 2012), corresponding to 63 percent of the total budget of the corridor programme. </w:t>
      </w:r>
      <w:r w:rsidR="00AC1EA0">
        <w:rPr>
          <w:rFonts w:ascii="Times New Roman" w:hAnsi="Times New Roman" w:eastAsia="Calibri" w:cs="Times New Roman"/>
          <w:bCs/>
          <w:sz w:val="22"/>
          <w:szCs w:val="22"/>
          <w:lang w:val="en-GB" w:eastAsia="en-US"/>
        </w:rPr>
        <w:t xml:space="preserve">To promote agriculture, </w:t>
      </w:r>
      <w:r w:rsidRPr="00AC1EA0" w:rsidR="00AC1EA0">
        <w:rPr>
          <w:rFonts w:ascii="Times New Roman" w:hAnsi="Times New Roman" w:eastAsia="Calibri" w:cs="Times New Roman"/>
          <w:bCs/>
          <w:sz w:val="22"/>
          <w:szCs w:val="22"/>
          <w:lang w:val="en-GB" w:eastAsia="en-US"/>
        </w:rPr>
        <w:t>the programme envisaged the development of agricultural collection points, markets and storage infrastructure.</w:t>
      </w:r>
      <w:r w:rsidR="00A53290">
        <w:rPr>
          <w:rFonts w:ascii="Times New Roman" w:hAnsi="Times New Roman" w:eastAsia="Calibri" w:cs="Times New Roman"/>
          <w:bCs/>
          <w:sz w:val="22"/>
          <w:szCs w:val="22"/>
          <w:lang w:val="en-GB" w:eastAsia="en-US"/>
        </w:rPr>
        <w:t xml:space="preserve"> As part of its soft investments, GMS fostered regional competitiveness through the promotion of pro-poor agricultural value chains, agro-based clusters and Special Economic Zones, and cross-border contract farming (Gálvez Nogales, 2014).</w:t>
      </w:r>
    </w:p>
    <w:p xmlns:wp14="http://schemas.microsoft.com/office/word/2010/wordml" w:rsidR="00AC1EA0" w:rsidP="00ED7A6D" w:rsidRDefault="00AC1EA0" w14:paraId="31859EA0" wp14:textId="77777777">
      <w:pPr>
        <w:jc w:val="both"/>
        <w:rPr>
          <w:rFonts w:ascii="Times New Roman" w:hAnsi="Times New Roman" w:eastAsia="Calibri" w:cs="Times New Roman"/>
          <w:bCs/>
          <w:sz w:val="22"/>
          <w:szCs w:val="22"/>
          <w:lang w:val="en-GB" w:eastAsia="en-US"/>
        </w:rPr>
      </w:pPr>
    </w:p>
    <w:p xmlns:wp14="http://schemas.microsoft.com/office/word/2010/wordml" w:rsidR="00ED7A6D" w:rsidP="00ED7A6D" w:rsidRDefault="00021715" w14:paraId="7DE85C7E" wp14:textId="77777777">
      <w:pPr>
        <w:jc w:val="both"/>
        <w:rPr>
          <w:rFonts w:ascii="Times New Roman" w:hAnsi="Times New Roman" w:cs="Times New Roman"/>
          <w:sz w:val="22"/>
          <w:szCs w:val="22"/>
          <w:lang w:val="en-GB"/>
        </w:rPr>
      </w:pPr>
      <w:r>
        <w:rPr>
          <w:rFonts w:ascii="Times New Roman" w:hAnsi="Times New Roman" w:cs="Times New Roman"/>
          <w:sz w:val="22"/>
          <w:szCs w:val="22"/>
          <w:lang w:val="en-GB"/>
        </w:rPr>
        <w:t>However, l</w:t>
      </w:r>
      <w:r w:rsidRPr="00ED7A6D" w:rsidR="00ED7A6D">
        <w:rPr>
          <w:rFonts w:ascii="Times New Roman" w:hAnsi="Times New Roman" w:cs="Times New Roman"/>
          <w:sz w:val="22"/>
          <w:szCs w:val="22"/>
          <w:lang w:val="en-GB"/>
        </w:rPr>
        <w:t xml:space="preserve">ow institutional capacity for cross-border trade of agricultural and agro-industrial products </w:t>
      </w:r>
      <w:r w:rsidR="00AC1EA0">
        <w:rPr>
          <w:rFonts w:ascii="Times New Roman" w:hAnsi="Times New Roman" w:cs="Times New Roman"/>
          <w:sz w:val="22"/>
          <w:szCs w:val="22"/>
          <w:lang w:val="en-GB"/>
        </w:rPr>
        <w:t>remains</w:t>
      </w:r>
      <w:r w:rsidRPr="00ED7A6D" w:rsidR="00ED7A6D">
        <w:rPr>
          <w:rFonts w:ascii="Times New Roman" w:hAnsi="Times New Roman" w:cs="Times New Roman"/>
          <w:sz w:val="22"/>
          <w:szCs w:val="22"/>
          <w:lang w:val="en-GB"/>
        </w:rPr>
        <w:t xml:space="preserve"> a major bottleneck. Recognizing the need to supplement the region’s physical connectivity with improved policy environments and institutional capacity for trade and transport facilitation (Srivastava and Kumar, 2012), GMS members have endorsed further study and technical assistance projects tailored to the individual needs of each country. The GMS Cross</w:t>
      </w:r>
      <w:r w:rsidRPr="00ED7A6D" w:rsidR="00ED7A6D">
        <w:rPr>
          <w:rFonts w:hint="eastAsia" w:ascii="MS Mincho" w:hAnsi="MS Mincho" w:eastAsia="MS Mincho" w:cs="MS Mincho"/>
          <w:sz w:val="22"/>
          <w:szCs w:val="22"/>
          <w:lang w:val="en-GB"/>
        </w:rPr>
        <w:t>‑</w:t>
      </w:r>
      <w:r w:rsidRPr="00ED7A6D" w:rsidR="00ED7A6D">
        <w:rPr>
          <w:rFonts w:ascii="Times New Roman" w:hAnsi="Times New Roman" w:cs="Times New Roman"/>
          <w:sz w:val="22"/>
          <w:szCs w:val="22"/>
          <w:lang w:val="en-GB"/>
        </w:rPr>
        <w:t xml:space="preserve">Border Transport Agreement and the GMS Plan of Action for Trade and Trade Facilitation, 2012 are two examples of regional collaboration along these lines (Srivastava and Kumar, 2012). The GMS agriculture-focused initiatives also emphasized institutional capacity building for growth in cross-border agricultural trade and integration. Country-led development programmes are addressing growth and economic disparities among member countries in the spirit of shared GMS objectives. </w:t>
      </w:r>
    </w:p>
    <w:p xmlns:wp14="http://schemas.microsoft.com/office/word/2010/wordml" w:rsidR="00AC1EA0" w:rsidP="00ED7A6D" w:rsidRDefault="00AC1EA0" w14:paraId="61346D43" wp14:textId="77777777">
      <w:pPr>
        <w:jc w:val="both"/>
        <w:rPr>
          <w:rFonts w:ascii="Times New Roman" w:hAnsi="Times New Roman" w:cs="Times New Roman"/>
          <w:sz w:val="22"/>
          <w:szCs w:val="22"/>
          <w:lang w:val="en-GB"/>
        </w:rPr>
      </w:pPr>
    </w:p>
    <w:p xmlns:wp14="http://schemas.microsoft.com/office/word/2010/wordml" w:rsidRPr="00AC1EA0" w:rsidR="00AC1EA0" w:rsidP="00ED7A6D" w:rsidRDefault="00AC1EA0" w14:paraId="3FCDD211" wp14:textId="77777777">
      <w:pPr>
        <w:jc w:val="both"/>
        <w:rPr>
          <w:rFonts w:ascii="Times New Roman" w:hAnsi="Times New Roman" w:cs="Times New Roman"/>
          <w:b/>
          <w:i/>
          <w:sz w:val="22"/>
          <w:szCs w:val="22"/>
          <w:lang w:val="en-GB"/>
        </w:rPr>
      </w:pPr>
      <w:r w:rsidRPr="00AC1EA0">
        <w:rPr>
          <w:rFonts w:ascii="Times New Roman" w:hAnsi="Times New Roman" w:cs="Times New Roman"/>
          <w:b/>
          <w:i/>
          <w:sz w:val="22"/>
          <w:szCs w:val="22"/>
          <w:lang w:val="en-GB"/>
        </w:rPr>
        <w:t>Benefits and constraints</w:t>
      </w:r>
    </w:p>
    <w:p xmlns:wp14="http://schemas.microsoft.com/office/word/2010/wordml" w:rsidRPr="00ED7A6D" w:rsidR="00F614F9" w:rsidP="00EA0F74" w:rsidRDefault="00F614F9" w14:paraId="71196528" wp14:textId="77777777">
      <w:pPr>
        <w:pStyle w:val="NormalWeb"/>
        <w:shd w:val="clear" w:color="auto" w:fill="FFFFFF"/>
        <w:spacing w:after="0" w:afterAutospacing="0"/>
        <w:jc w:val="both"/>
        <w:rPr>
          <w:rFonts w:ascii="Times New Roman" w:hAnsi="Times New Roman"/>
          <w:sz w:val="22"/>
          <w:szCs w:val="22"/>
          <w:shd w:val="clear" w:color="auto" w:fill="FFFFFF"/>
          <w:lang w:val="en-GB"/>
        </w:rPr>
      </w:pPr>
      <w:r w:rsidRPr="00ED7A6D">
        <w:rPr>
          <w:rFonts w:ascii="Times New Roman" w:hAnsi="Times New Roman"/>
          <w:sz w:val="22"/>
          <w:szCs w:val="22"/>
          <w:shd w:val="clear" w:color="auto" w:fill="FFFFFF"/>
          <w:lang w:val="en-GB"/>
        </w:rPr>
        <w:t>GMS is one of the fastest growing regions in the world, although transformation of the agriculture sector into a commercial agro-industrial engine for growth has not yet taken place in GMS countries, apart from Thailand. The sector remains dominated by smallholder farmers and SMEs that are not well integrated in regional or global supply chains and agro-industry faces a number of constraints that limit competitiveness and growth in the sec</w:t>
      </w:r>
      <w:r w:rsidR="00EA0F74">
        <w:rPr>
          <w:rFonts w:ascii="Times New Roman" w:hAnsi="Times New Roman"/>
          <w:sz w:val="22"/>
          <w:szCs w:val="22"/>
          <w:shd w:val="clear" w:color="auto" w:fill="FFFFFF"/>
          <w:lang w:val="en-GB"/>
        </w:rPr>
        <w:t>tor. They include the following:</w:t>
      </w:r>
      <w:r w:rsidRPr="00ED7A6D">
        <w:rPr>
          <w:rFonts w:ascii="Times New Roman" w:hAnsi="Times New Roman"/>
          <w:sz w:val="22"/>
          <w:szCs w:val="22"/>
          <w:shd w:val="clear" w:color="auto" w:fill="FFFFFF"/>
          <w:lang w:val="en-GB"/>
        </w:rPr>
        <w:t xml:space="preserve"> </w:t>
      </w:r>
    </w:p>
    <w:p xmlns:wp14="http://schemas.microsoft.com/office/word/2010/wordml" w:rsidRPr="00ED7A6D" w:rsidR="00F614F9" w:rsidP="00F614F9" w:rsidRDefault="00F614F9" w14:paraId="0749A7D0" wp14:textId="77777777">
      <w:pPr>
        <w:pStyle w:val="ListParagraph"/>
        <w:numPr>
          <w:ilvl w:val="0"/>
          <w:numId w:val="6"/>
        </w:numPr>
        <w:autoSpaceDE w:val="0"/>
        <w:autoSpaceDN w:val="0"/>
        <w:adjustRightInd w:val="0"/>
        <w:ind w:left="426"/>
        <w:jc w:val="both"/>
        <w:rPr>
          <w:rFonts w:ascii="Times New Roman" w:hAnsi="Times New Roman" w:cs="Times New Roman"/>
          <w:sz w:val="22"/>
          <w:szCs w:val="22"/>
          <w:lang w:val="en-GB"/>
        </w:rPr>
      </w:pPr>
      <w:r w:rsidRPr="00ED7A6D">
        <w:rPr>
          <w:rFonts w:ascii="Times New Roman" w:hAnsi="Times New Roman" w:cs="Times New Roman"/>
          <w:i/>
          <w:iCs/>
          <w:sz w:val="22"/>
          <w:szCs w:val="22"/>
          <w:lang w:val="en-GB"/>
        </w:rPr>
        <w:t>Supply chain constraints.</w:t>
      </w:r>
      <w:r w:rsidRPr="00ED7A6D">
        <w:rPr>
          <w:rFonts w:ascii="Times New Roman" w:hAnsi="Times New Roman" w:cs="Times New Roman"/>
          <w:b/>
          <w:iCs/>
          <w:sz w:val="22"/>
          <w:szCs w:val="22"/>
          <w:lang w:val="en-GB"/>
        </w:rPr>
        <w:t xml:space="preserve"> </w:t>
      </w:r>
      <w:r w:rsidRPr="00ED7A6D">
        <w:rPr>
          <w:rFonts w:ascii="Times New Roman" w:hAnsi="Times New Roman" w:cs="Times New Roman"/>
          <w:sz w:val="22"/>
          <w:szCs w:val="22"/>
          <w:lang w:val="en-GB"/>
        </w:rPr>
        <w:t xml:space="preserve">Access to quality inputs is often delayed or denied (financially or physically) to producers, thereby constraining their ability to secure high-quality raw materials. Furthermore, agro-industries face logistical challenges in transporting their products. Businesses in Lao PDR and Cambodia complain of limited availability of transport services, because of an aged and small trucking fleet in their countries (ADB, 2012a). </w:t>
      </w:r>
    </w:p>
    <w:p xmlns:wp14="http://schemas.microsoft.com/office/word/2010/wordml" w:rsidRPr="00ED7A6D" w:rsidR="00F614F9" w:rsidP="00F614F9" w:rsidRDefault="00F614F9" w14:paraId="628A29D0" wp14:textId="77777777">
      <w:pPr>
        <w:pStyle w:val="ListParagraph"/>
        <w:numPr>
          <w:ilvl w:val="0"/>
          <w:numId w:val="6"/>
        </w:numPr>
        <w:autoSpaceDE w:val="0"/>
        <w:autoSpaceDN w:val="0"/>
        <w:adjustRightInd w:val="0"/>
        <w:ind w:left="426"/>
        <w:jc w:val="both"/>
        <w:rPr>
          <w:rFonts w:ascii="Times New Roman" w:hAnsi="Times New Roman" w:cs="Times New Roman"/>
          <w:sz w:val="22"/>
          <w:szCs w:val="22"/>
          <w:lang w:val="en-GB"/>
        </w:rPr>
      </w:pPr>
      <w:r w:rsidRPr="00ED7A6D">
        <w:rPr>
          <w:rFonts w:ascii="Times New Roman" w:hAnsi="Times New Roman" w:cs="Times New Roman"/>
          <w:i/>
          <w:iCs/>
          <w:sz w:val="22"/>
          <w:szCs w:val="22"/>
          <w:lang w:val="en-GB"/>
        </w:rPr>
        <w:lastRenderedPageBreak/>
        <w:t>Limited access to finance.</w:t>
      </w:r>
      <w:r w:rsidRPr="00ED7A6D">
        <w:rPr>
          <w:rFonts w:ascii="Times New Roman" w:hAnsi="Times New Roman" w:cs="Times New Roman"/>
          <w:sz w:val="22"/>
          <w:szCs w:val="22"/>
          <w:lang w:val="en-GB"/>
        </w:rPr>
        <w:t xml:space="preserve"> Agro-industry in the region faces challenges in accessing both working and investment capital. The challenge is more acute for businesses in less developed member countries. Cambodian food businesses, for example, feel that their poor export quality and unreliable raw material supply are exacerbated by the lack of investment capital to expand milling facilities and modernize equipment, and by the lack of working capital to ensure a reliable supply of raw materials (ADB, 2012a).  </w:t>
      </w:r>
    </w:p>
    <w:p xmlns:wp14="http://schemas.microsoft.com/office/word/2010/wordml" w:rsidRPr="00ED7A6D" w:rsidR="00F614F9" w:rsidP="00F614F9" w:rsidRDefault="00F614F9" w14:paraId="690B3F3F" wp14:textId="77777777">
      <w:pPr>
        <w:pStyle w:val="ListParagraph"/>
        <w:numPr>
          <w:ilvl w:val="0"/>
          <w:numId w:val="6"/>
        </w:numPr>
        <w:autoSpaceDE w:val="0"/>
        <w:autoSpaceDN w:val="0"/>
        <w:adjustRightInd w:val="0"/>
        <w:ind w:left="426"/>
        <w:jc w:val="both"/>
        <w:rPr>
          <w:rFonts w:ascii="Times New Roman" w:hAnsi="Times New Roman" w:cs="Times New Roman"/>
          <w:sz w:val="22"/>
          <w:szCs w:val="22"/>
          <w:lang w:val="en-GB"/>
        </w:rPr>
      </w:pPr>
      <w:r w:rsidRPr="00ED7A6D">
        <w:rPr>
          <w:rFonts w:ascii="Times New Roman" w:hAnsi="Times New Roman" w:cs="Times New Roman"/>
          <w:i/>
          <w:iCs/>
          <w:sz w:val="22"/>
          <w:szCs w:val="22"/>
          <w:lang w:val="en-GB"/>
        </w:rPr>
        <w:t>Trade-related policies and procedures.</w:t>
      </w:r>
      <w:r w:rsidRPr="00ED7A6D">
        <w:rPr>
          <w:rFonts w:ascii="Times New Roman" w:hAnsi="Times New Roman" w:cs="Times New Roman"/>
          <w:sz w:val="22"/>
          <w:szCs w:val="22"/>
          <w:lang w:val="en-GB"/>
        </w:rPr>
        <w:t xml:space="preserve"> Businesses complain of complicated and time-consuming customs formalities, fees and inspections. Most GMS member countries have limited institutional capacity (including human capacity) to undertake specialized sanitary and phytosanitary verification procedures (ADB, 2012a). Customs delays add costs to doing business and ultimately impact the competitiveness of the region. Specialized technical assistance and investment in physical infrastructure (e.g. laboratories and quarantine facilities) are needed to improve these capacities. </w:t>
      </w:r>
    </w:p>
    <w:p xmlns:wp14="http://schemas.microsoft.com/office/word/2010/wordml" w:rsidRPr="00ED7A6D" w:rsidR="00F614F9" w:rsidP="00F614F9" w:rsidRDefault="00F614F9" w14:paraId="122013B0" wp14:textId="77777777">
      <w:pPr>
        <w:pStyle w:val="ListParagraph"/>
        <w:numPr>
          <w:ilvl w:val="0"/>
          <w:numId w:val="6"/>
        </w:numPr>
        <w:autoSpaceDE w:val="0"/>
        <w:autoSpaceDN w:val="0"/>
        <w:adjustRightInd w:val="0"/>
        <w:ind w:left="426"/>
        <w:jc w:val="both"/>
        <w:rPr>
          <w:rFonts w:ascii="Times New Roman" w:hAnsi="Times New Roman" w:cs="Times New Roman"/>
          <w:sz w:val="22"/>
          <w:szCs w:val="22"/>
          <w:lang w:val="en-GB"/>
        </w:rPr>
      </w:pPr>
      <w:r w:rsidRPr="00ED7A6D">
        <w:rPr>
          <w:rFonts w:ascii="Times New Roman" w:hAnsi="Times New Roman" w:cs="Times New Roman"/>
          <w:i/>
          <w:iCs/>
          <w:sz w:val="22"/>
          <w:szCs w:val="22"/>
          <w:lang w:val="en-GB"/>
        </w:rPr>
        <w:t>Poor business-enabling environment.</w:t>
      </w:r>
      <w:r w:rsidRPr="00ED7A6D">
        <w:rPr>
          <w:rFonts w:ascii="Times New Roman" w:hAnsi="Times New Roman" w:cs="Times New Roman"/>
          <w:sz w:val="22"/>
          <w:szCs w:val="22"/>
          <w:lang w:val="en-GB"/>
        </w:rPr>
        <w:t xml:space="preserve"> Among the corridor countries, Cambodia, Lao PDR and Myanmar perform poorly in the World Bank’s Doing Business rankings, with China and Viet Nam performing significantly better. Thailand performs well, reflecting its agribusiness leadership in the region. Standards of public and corporate governance within the region remain low by international standards (ADB, 2011). Poor enabling environments can be deterrents to private investment, particularly foreign direct investment (FDI). </w:t>
      </w:r>
    </w:p>
    <w:p xmlns:wp14="http://schemas.microsoft.com/office/word/2010/wordml" w:rsidRPr="00ED7A6D" w:rsidR="00F614F9" w:rsidP="00F614F9" w:rsidRDefault="00F614F9" w14:paraId="5F533A9B" wp14:textId="77777777">
      <w:pPr>
        <w:pStyle w:val="ListParagraph"/>
        <w:autoSpaceDE w:val="0"/>
        <w:autoSpaceDN w:val="0"/>
        <w:adjustRightInd w:val="0"/>
        <w:ind w:left="0"/>
        <w:rPr>
          <w:rFonts w:ascii="Times New Roman" w:hAnsi="Times New Roman" w:cs="Times New Roman"/>
          <w:b/>
          <w:bCs/>
          <w:sz w:val="22"/>
          <w:szCs w:val="22"/>
          <w:lang w:val="en-GB"/>
        </w:rPr>
      </w:pPr>
    </w:p>
    <w:p xmlns:wp14="http://schemas.microsoft.com/office/word/2010/wordml" w:rsidRPr="00ED7A6D" w:rsidR="00C13407" w:rsidP="00ED7A6D" w:rsidRDefault="00994953" w14:paraId="71E69CEF" wp14:textId="77777777">
      <w:pPr>
        <w:autoSpaceDE w:val="0"/>
        <w:autoSpaceDN w:val="0"/>
        <w:adjustRightInd w:val="0"/>
        <w:spacing w:after="240"/>
        <w:jc w:val="both"/>
        <w:rPr>
          <w:rFonts w:ascii="Times New Roman" w:hAnsi="Times New Roman" w:cs="Times New Roman"/>
          <w:sz w:val="22"/>
          <w:szCs w:val="22"/>
          <w:lang w:val="en-GB"/>
        </w:rPr>
      </w:pPr>
      <w:r w:rsidRPr="00ED7A6D">
        <w:rPr>
          <w:rFonts w:ascii="Times New Roman" w:hAnsi="Times New Roman" w:cs="Times New Roman"/>
          <w:sz w:val="22"/>
          <w:szCs w:val="22"/>
          <w:lang w:val="en-GB"/>
        </w:rPr>
        <w:t>Despite these weaknesses, the cornerstone of GMS regional cooperation has improved trade facilitation through upgrades to the transportation network, connectivity between major economic centres, and harmonization and streamlining of customs procedures to improve the movement of goods in and out of countries. Efforts over the past 20 years have resulted in growth in intraregional trade by 25.5 percent between 2000 and 2007 (ADB, 2011). However, growth in intraregional agricultural trade has underperformed with regard to other sectors, and the region is seeing little private agro-industrial investment along corridor routes (ADB, 2011). Trade in the region consists primarily of manufactured products, with the greatest growth in volumes of trade consisting of imports of manufactured products from China. Thailand and Viet Nam are the other countries with a large share of trade flows within the GMS region.</w:t>
      </w:r>
    </w:p>
    <w:p xmlns:wp14="http://schemas.microsoft.com/office/word/2010/wordml" w:rsidRPr="00ED7A6D" w:rsidR="00ED7A6D" w:rsidP="00ED7A6D" w:rsidRDefault="00ED7A6D" w14:paraId="47E48663" wp14:textId="77777777">
      <w:pPr>
        <w:autoSpaceDE w:val="0"/>
        <w:autoSpaceDN w:val="0"/>
        <w:adjustRightInd w:val="0"/>
        <w:jc w:val="both"/>
        <w:rPr>
          <w:rFonts w:ascii="Times New Roman" w:hAnsi="Times New Roman" w:cs="Times New Roman"/>
          <w:sz w:val="22"/>
          <w:szCs w:val="22"/>
          <w:lang w:val="en-GB"/>
        </w:rPr>
      </w:pPr>
      <w:r w:rsidRPr="00ED7A6D">
        <w:rPr>
          <w:rFonts w:ascii="Times New Roman" w:hAnsi="Times New Roman" w:cs="Times New Roman"/>
          <w:sz w:val="22"/>
          <w:szCs w:val="22"/>
          <w:lang w:val="en-GB"/>
        </w:rPr>
        <w:t xml:space="preserve">Total reported exports have grown for agricultural products such as rice, cassava, prawns, processed fish, poultry products and rubber (ADB, 2012a). With regard to regional trade, the lesser developed GMS countries of Cambodia, Lao PDR and Myanmar essentially export primary products to China, Thailand and Viet Nam. From 2000 to 2009, Thailand’s imports from other GMS5 countries became more oriented towards primary products (from 63 percent in 2000 to 81 percent in 2009), suggesting that Thailand is home to more value-added activities than its neighbours. Viet Nam, too, has succeeded in increasing its value-added sector, changing its exports from 46 percent manufactured products in 2000 to 60 percent in 2009 (Srivastava and Kumar, 2012). </w:t>
      </w:r>
    </w:p>
    <w:p xmlns:wp14="http://schemas.microsoft.com/office/word/2010/wordml" w:rsidRPr="00A53290" w:rsidR="00B07265" w:rsidP="00A53290" w:rsidRDefault="00B07265" w14:paraId="66B55CD1" wp14:textId="77777777">
      <w:pPr>
        <w:autoSpaceDE w:val="0"/>
        <w:autoSpaceDN w:val="0"/>
        <w:adjustRightInd w:val="0"/>
        <w:spacing w:after="120"/>
        <w:ind w:left="284" w:hanging="284"/>
        <w:jc w:val="both"/>
        <w:rPr>
          <w:rFonts w:ascii="Times New Roman" w:hAnsi="Times New Roman" w:eastAsia="Calibri" w:cs="Times New Roman"/>
          <w:color w:val="000000"/>
          <w:sz w:val="22"/>
          <w:szCs w:val="22"/>
          <w:lang w:val="en-GB" w:eastAsia="en-US"/>
        </w:rPr>
      </w:pPr>
      <w:r w:rsidRPr="00186A98">
        <w:rPr>
          <w:rFonts w:ascii="Times New Roman" w:hAnsi="Times New Roman"/>
          <w:b/>
          <w:noProof/>
          <w:color w:val="1F497D" w:themeColor="text2"/>
          <w:lang w:val="en-GB" w:eastAsia="en-GB"/>
        </w:rPr>
        <w:drawing>
          <wp:anchor xmlns:wp14="http://schemas.microsoft.com/office/word/2010/wordprocessingDrawing" distT="0" distB="0" distL="114300" distR="114300" simplePos="0" relativeHeight="251656192" behindDoc="1" locked="0" layoutInCell="1" allowOverlap="1" wp14:anchorId="313C9F71" wp14:editId="7DBD922E">
            <wp:simplePos x="0" y="0"/>
            <wp:positionH relativeFrom="column">
              <wp:posOffset>62865</wp:posOffset>
            </wp:positionH>
            <wp:positionV relativeFrom="paragraph">
              <wp:posOffset>167640</wp:posOffset>
            </wp:positionV>
            <wp:extent cx="675005" cy="482600"/>
            <wp:effectExtent l="0" t="0" r="0" b="0"/>
            <wp:wrapTight wrapText="bothSides">
              <wp:wrapPolygon edited="0">
                <wp:start x="9144" y="0"/>
                <wp:lineTo x="2438" y="5116"/>
                <wp:lineTo x="0" y="8526"/>
                <wp:lineTo x="0" y="20463"/>
                <wp:lineTo x="8534" y="20463"/>
                <wp:lineTo x="9144" y="20463"/>
                <wp:lineTo x="20726" y="12789"/>
                <wp:lineTo x="20726" y="0"/>
                <wp:lineTo x="9144" y="0"/>
              </wp:wrapPolygon>
            </wp:wrapTight>
            <wp:docPr id="25" name="Immagine 2" descr="C:\Users\Costanza\AppData\Local\Microsoft\Windows\Temporary Internet Files\Content.IE5\L56KVNET\MC9004420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tanza\AppData\Local\Microsoft\Windows\Temporary Internet Files\Content.IE5\L56KVNET\MC90044207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482600"/>
                    </a:xfrm>
                    <a:prstGeom prst="rect">
                      <a:avLst/>
                    </a:prstGeom>
                    <a:noFill/>
                    <a:ln>
                      <a:noFill/>
                    </a:ln>
                  </pic:spPr>
                </pic:pic>
              </a:graphicData>
            </a:graphic>
          </wp:anchor>
        </w:drawing>
      </w:r>
    </w:p>
    <w:p xmlns:wp14="http://schemas.microsoft.com/office/word/2010/wordml" w:rsidRPr="00B07265" w:rsidR="0052568B" w:rsidP="00F40432" w:rsidRDefault="00B07265" w14:paraId="176A96A3" wp14:textId="77777777">
      <w:pPr>
        <w:widowControl w:val="0"/>
        <w:autoSpaceDE w:val="0"/>
        <w:autoSpaceDN w:val="0"/>
        <w:adjustRightInd w:val="0"/>
        <w:spacing w:after="240"/>
        <w:jc w:val="both"/>
        <w:rPr>
          <w:rFonts w:ascii="Times New Roman" w:hAnsi="Times New Roman" w:cs="Times New Roman"/>
          <w:b/>
          <w:color w:val="1F497D" w:themeColor="text2"/>
          <w:lang w:val="en-GB"/>
        </w:rPr>
      </w:pPr>
      <w:r w:rsidRPr="00B07265">
        <w:rPr>
          <w:rFonts w:ascii="Times New Roman" w:hAnsi="Times New Roman" w:cs="Times New Roman"/>
          <w:b/>
          <w:color w:val="1F497D" w:themeColor="text2"/>
          <w:lang w:val="en-GB"/>
        </w:rPr>
        <w:t>QUESTIONS:</w:t>
      </w:r>
    </w:p>
    <w:p xmlns:wp14="http://schemas.microsoft.com/office/word/2010/wordml" w:rsidRPr="00CD4DAF" w:rsidR="00B07265" w:rsidP="00F40432" w:rsidRDefault="00B07265" w14:paraId="1B418230" wp14:textId="77777777">
      <w:pPr>
        <w:widowControl w:val="0"/>
        <w:autoSpaceDE w:val="0"/>
        <w:autoSpaceDN w:val="0"/>
        <w:adjustRightInd w:val="0"/>
        <w:jc w:val="both"/>
        <w:rPr>
          <w:rFonts w:ascii="Times New Roman" w:hAnsi="Times New Roman" w:cs="Times New Roman"/>
          <w:b/>
          <w:lang w:val="en-GB"/>
        </w:rPr>
      </w:pPr>
    </w:p>
    <w:p xmlns:wp14="http://schemas.microsoft.com/office/word/2010/wordml" w:rsidRPr="00F40432" w:rsidR="006961DA" w:rsidP="006961DA" w:rsidRDefault="006961DA" w14:paraId="2E862F84" wp14:noSpellErr="1" wp14:textId="7823537F">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1653C5CC">
        <w:rPr>
          <w:rFonts w:ascii="Times New Roman" w:hAnsi="Times New Roman" w:eastAsia="Times New Roman" w:cs="Times New Roman"/>
          <w:i w:val="1"/>
          <w:iCs w:val="1"/>
          <w:color w:val="365F91" w:themeColor="accent1" w:themeShade="BF"/>
          <w:lang w:val="en-GB"/>
        </w:rPr>
        <w:t xml:space="preserve">  </w:t>
      </w:r>
      <w:r w:rsidRPr="1653C5CC" w:rsidR="00724037">
        <w:rPr>
          <w:rFonts w:ascii="Times New Roman" w:hAnsi="Times New Roman" w:eastAsia="Times New Roman" w:cs="Times New Roman"/>
          <w:i w:val="1"/>
          <w:iCs w:val="1"/>
          <w:color w:val="365F91" w:themeColor="accent1" w:themeShade="BF"/>
          <w:lang w:val="en-GB"/>
        </w:rPr>
        <w:t>GMS gave priority to infrastructur</w:t>
      </w:r>
      <w:r w:rsidRPr="1653C5CC" w:rsidR="00724037">
        <w:rPr>
          <w:rFonts w:ascii="Times New Roman" w:hAnsi="Times New Roman" w:eastAsia="Times New Roman" w:cs="Times New Roman"/>
          <w:i w:val="1"/>
          <w:iCs w:val="1"/>
          <w:color w:val="365F91" w:themeColor="accent1" w:themeShade="BF"/>
          <w:lang w:val="en-GB"/>
        </w:rPr>
        <w:t>e</w:t>
      </w:r>
      <w:r w:rsidRPr="1653C5CC" w:rsidR="00724037">
        <w:rPr>
          <w:rFonts w:ascii="Times New Roman" w:hAnsi="Times New Roman" w:eastAsia="Times New Roman" w:cs="Times New Roman"/>
          <w:i w:val="1"/>
          <w:iCs w:val="1"/>
          <w:color w:val="365F91" w:themeColor="accent1" w:themeShade="BF"/>
          <w:lang w:val="en-GB"/>
        </w:rPr>
        <w:t xml:space="preserve"> projects</w:t>
      </w:r>
      <w:r w:rsidRPr="1653C5CC" w:rsidR="00724037">
        <w:rPr>
          <w:rFonts w:ascii="Times New Roman" w:hAnsi="Times New Roman" w:eastAsia="Times New Roman" w:cs="Times New Roman"/>
          <w:i w:val="1"/>
          <w:iCs w:val="1"/>
          <w:color w:val="365F91" w:themeColor="accent1" w:themeShade="BF"/>
          <w:lang w:val="en-GB"/>
        </w:rPr>
        <w:t xml:space="preserve">. In your opinion, which </w:t>
      </w:r>
      <w:r w:rsidRPr="1653C5CC" w:rsidR="00266331">
        <w:rPr>
          <w:rFonts w:ascii="Times New Roman" w:hAnsi="Times New Roman" w:eastAsia="Times New Roman" w:cs="Times New Roman"/>
          <w:i w:val="1"/>
          <w:iCs w:val="1"/>
          <w:color w:val="365F91" w:themeColor="accent1" w:themeShade="BF"/>
          <w:lang w:val="en-GB"/>
        </w:rPr>
        <w:t xml:space="preserve">additional </w:t>
      </w:r>
      <w:r w:rsidRPr="1653C5CC" w:rsidR="00724037">
        <w:rPr>
          <w:rFonts w:ascii="Times New Roman" w:hAnsi="Times New Roman" w:eastAsia="Times New Roman" w:cs="Times New Roman"/>
          <w:i w:val="1"/>
          <w:iCs w:val="1"/>
          <w:color w:val="365F91" w:themeColor="accent1" w:themeShade="BF"/>
          <w:lang w:val="en-GB"/>
        </w:rPr>
        <w:t>soft interventions could serve to further augment the impact of the corridor</w:t>
      </w:r>
      <w:r w:rsidRPr="1653C5CC">
        <w:rPr>
          <w:rFonts w:ascii="Times New Roman" w:hAnsi="Times New Roman" w:eastAsia="Times New Roman" w:cs="Times New Roman"/>
          <w:i w:val="1"/>
          <w:iCs w:val="1"/>
          <w:color w:val="365F91" w:themeColor="accent1" w:themeShade="BF"/>
          <w:lang w:val="en-GB"/>
        </w:rPr>
        <w:t>?</w:t>
      </w:r>
    </w:p>
    <w:p xmlns:wp14="http://schemas.microsoft.com/office/word/2010/wordml" w:rsidRPr="00F40432" w:rsidR="00F40432" w:rsidP="00F40432" w:rsidRDefault="00F40432" w14:paraId="1CC84178" wp14:textId="77777777">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00F40432">
        <w:rPr>
          <w:rFonts w:ascii="Times New Roman" w:hAnsi="Times New Roman" w:cs="Times New Roman"/>
          <w:i/>
          <w:color w:val="365F91" w:themeColor="accent1" w:themeShade="BF"/>
          <w:lang w:val="en-GB"/>
        </w:rPr>
        <w:t xml:space="preserve">  </w:t>
      </w:r>
      <w:r w:rsidR="00724037">
        <w:rPr>
          <w:rFonts w:ascii="Times New Roman" w:hAnsi="Times New Roman" w:cs="Times New Roman"/>
          <w:i/>
          <w:color w:val="365F91" w:themeColor="accent1" w:themeShade="BF"/>
          <w:lang w:val="en-GB"/>
        </w:rPr>
        <w:t>T</w:t>
      </w:r>
      <w:r w:rsidR="00ED7A6D">
        <w:rPr>
          <w:rFonts w:ascii="Times New Roman" w:hAnsi="Times New Roman" w:cs="Times New Roman"/>
          <w:i/>
          <w:color w:val="365F91" w:themeColor="accent1" w:themeShade="BF"/>
          <w:lang w:val="en-GB"/>
        </w:rPr>
        <w:t>o address the constraints affecting the agro-industrial sector</w:t>
      </w:r>
      <w:r w:rsidR="00724037">
        <w:rPr>
          <w:rFonts w:ascii="Times New Roman" w:hAnsi="Times New Roman" w:cs="Times New Roman"/>
          <w:i/>
          <w:color w:val="365F91" w:themeColor="accent1" w:themeShade="BF"/>
          <w:lang w:val="en-GB"/>
        </w:rPr>
        <w:t xml:space="preserve"> in the corridor area, what can member countries do at the national level</w:t>
      </w:r>
      <w:r w:rsidRPr="00F40432">
        <w:rPr>
          <w:rFonts w:ascii="Times New Roman" w:hAnsi="Times New Roman" w:cs="Times New Roman"/>
          <w:i/>
          <w:color w:val="365F91" w:themeColor="accent1" w:themeShade="BF"/>
          <w:lang w:val="en-GB"/>
        </w:rPr>
        <w:t>?</w:t>
      </w:r>
    </w:p>
    <w:p xmlns:wp14="http://schemas.microsoft.com/office/word/2010/wordml" w:rsidRPr="00F40432" w:rsidR="00F40432" w:rsidP="00F40432" w:rsidRDefault="00F40432" w14:paraId="22312FBF" wp14:noSpellErr="1" wp14:textId="13759128">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1653C5CC" w:rsidR="00ED7A6D">
        <w:rPr>
          <w:rFonts w:ascii="Times New Roman" w:hAnsi="Times New Roman" w:eastAsia="Times New Roman" w:cs="Times New Roman"/>
          <w:i w:val="1"/>
          <w:iCs w:val="1"/>
          <w:color w:val="365F91" w:themeColor="accent1" w:themeShade="BF"/>
          <w:lang w:val="en-GB"/>
        </w:rPr>
        <w:t xml:space="preserve"> In your opinion, why </w:t>
      </w:r>
      <w:r w:rsidRPr="1653C5CC" w:rsidR="00ED7A6D">
        <w:rPr>
          <w:rFonts w:ascii="Times New Roman" w:hAnsi="Times New Roman" w:eastAsia="Times New Roman" w:cs="Times New Roman"/>
          <w:i w:val="1"/>
          <w:iCs w:val="1"/>
          <w:color w:val="365F91" w:themeColor="accent1" w:themeShade="BF"/>
          <w:lang w:val="en-GB"/>
        </w:rPr>
        <w:t xml:space="preserve">have </w:t>
      </w:r>
      <w:r w:rsidRPr="1653C5CC" w:rsidR="00ED7A6D">
        <w:rPr>
          <w:rFonts w:ascii="Times New Roman" w:hAnsi="Times New Roman" w:eastAsia="Times New Roman" w:cs="Times New Roman"/>
          <w:i w:val="1"/>
          <w:iCs w:val="1"/>
          <w:color w:val="365F91" w:themeColor="accent1" w:themeShade="BF"/>
          <w:lang w:val="en-GB"/>
        </w:rPr>
        <w:t xml:space="preserve">countries</w:t>
      </w:r>
      <w:r w:rsidRPr="1653C5CC" w:rsidR="00ED7A6D">
        <w:rPr>
          <w:rFonts w:ascii="Times New Roman" w:hAnsi="Times New Roman" w:eastAsia="Times New Roman" w:cs="Times New Roman"/>
          <w:i w:val="1"/>
          <w:iCs w:val="1"/>
          <w:color w:val="365F91" w:themeColor="accent1" w:themeShade="BF"/>
          <w:lang w:val="en-GB"/>
        </w:rPr>
        <w:t xml:space="preserve"> benefited differently from the corridor programme</w:t>
      </w:r>
      <w:r w:rsidRPr="1653C5CC" w:rsidR="00954CCD">
        <w:rPr>
          <w:rFonts w:ascii="Times New Roman" w:hAnsi="Times New Roman" w:eastAsia="Times New Roman" w:cs="Times New Roman"/>
          <w:i w:val="1"/>
          <w:iCs w:val="1"/>
          <w:color w:val="365F91" w:themeColor="accent1" w:themeShade="BF"/>
          <w:lang w:val="en-GB"/>
        </w:rPr>
        <w:t>?</w:t>
      </w:r>
      <w:r w:rsidRPr="1653C5CC" w:rsidR="00724037">
        <w:rPr>
          <w:rFonts w:ascii="Times New Roman" w:hAnsi="Times New Roman" w:eastAsia="Times New Roman" w:cs="Times New Roman"/>
          <w:i w:val="1"/>
          <w:iCs w:val="1"/>
          <w:color w:val="365F91" w:themeColor="accent1" w:themeShade="BF"/>
          <w:lang w:val="en-GB"/>
        </w:rPr>
        <w:t xml:space="preserve"> What can be done to make </w:t>
      </w:r>
      <w:r w:rsidRPr="1653C5CC" w:rsidR="00724037">
        <w:rPr>
          <w:rFonts w:ascii="Times New Roman" w:hAnsi="Times New Roman" w:eastAsia="Times New Roman" w:cs="Times New Roman"/>
          <w:i w:val="1"/>
          <w:iCs w:val="1"/>
          <w:color w:val="365F91" w:themeColor="accent1" w:themeShade="BF"/>
          <w:lang w:val="en-GB"/>
        </w:rPr>
        <w:t xml:space="preserve">the </w:t>
      </w:r>
      <w:r w:rsidRPr="1653C5CC" w:rsidR="00724037">
        <w:rPr>
          <w:rFonts w:ascii="Times New Roman" w:hAnsi="Times New Roman" w:eastAsia="Times New Roman" w:cs="Times New Roman"/>
          <w:i w:val="1"/>
          <w:iCs w:val="1"/>
          <w:color w:val="365F91" w:themeColor="accent1" w:themeShade="BF"/>
          <w:lang w:val="en-GB"/>
        </w:rPr>
        <w:t xml:space="preserve">results more uniform?</w:t>
      </w:r>
    </w:p>
    <w:p xmlns:wp14="http://schemas.microsoft.com/office/word/2010/wordml" w:rsidRPr="00F40432" w:rsidR="00F40432" w:rsidP="00F40432" w:rsidRDefault="00F40432" w14:paraId="469C4B8A" wp14:noSpellErr="1" wp14:textId="4785C4FF">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1653C5CC">
        <w:rPr>
          <w:rFonts w:ascii="Times New Roman" w:hAnsi="Times New Roman" w:eastAsia="Times New Roman" w:cs="Times New Roman"/>
          <w:i w:val="1"/>
          <w:iCs w:val="1"/>
          <w:color w:val="365F91" w:themeColor="accent1" w:themeShade="BF"/>
          <w:lang w:val="en-GB"/>
        </w:rPr>
        <w:t xml:space="preserve">  </w:t>
      </w:r>
      <w:r w:rsidRPr="1653C5CC" w:rsidR="00EA0F74">
        <w:rPr>
          <w:rFonts w:ascii="Times New Roman" w:hAnsi="Times New Roman" w:eastAsia="Times New Roman" w:cs="Times New Roman"/>
          <w:i w:val="1"/>
          <w:iCs w:val="1"/>
          <w:color w:val="365F91" w:themeColor="accent1" w:themeShade="BF"/>
          <w:lang w:val="en-GB"/>
        </w:rPr>
        <w:t>H</w:t>
      </w:r>
      <w:r w:rsidRPr="1653C5CC" w:rsidR="00B27BA8">
        <w:rPr>
          <w:rFonts w:ascii="Times New Roman" w:hAnsi="Times New Roman" w:eastAsia="Times New Roman" w:cs="Times New Roman"/>
          <w:i w:val="1"/>
          <w:iCs w:val="1"/>
          <w:color w:val="365F91" w:themeColor="accent1" w:themeShade="BF"/>
          <w:lang w:val="en-GB"/>
        </w:rPr>
        <w:t xml:space="preserve">ow </w:t>
      </w:r>
      <w:r w:rsidRPr="1653C5CC">
        <w:rPr>
          <w:rFonts w:ascii="Times New Roman" w:hAnsi="Times New Roman" w:eastAsia="Times New Roman" w:cs="Times New Roman"/>
          <w:i w:val="1"/>
          <w:iCs w:val="1"/>
          <w:color w:val="365F91" w:themeColor="accent1" w:themeShade="BF"/>
          <w:lang w:val="en-GB"/>
        </w:rPr>
        <w:t xml:space="preserve">important </w:t>
      </w:r>
      <w:r w:rsidRPr="1653C5CC" w:rsidR="00B27BA8">
        <w:rPr>
          <w:rFonts w:ascii="Times New Roman" w:hAnsi="Times New Roman" w:eastAsia="Times New Roman" w:cs="Times New Roman"/>
          <w:i w:val="1"/>
          <w:iCs w:val="1"/>
          <w:color w:val="365F91" w:themeColor="accent1" w:themeShade="BF"/>
          <w:lang w:val="en-GB"/>
        </w:rPr>
        <w:t xml:space="preserve">is it </w:t>
      </w:r>
      <w:r w:rsidRPr="1653C5CC">
        <w:rPr>
          <w:rFonts w:ascii="Times New Roman" w:hAnsi="Times New Roman" w:eastAsia="Times New Roman" w:cs="Times New Roman"/>
          <w:i w:val="1"/>
          <w:iCs w:val="1"/>
          <w:color w:val="365F91" w:themeColor="accent1" w:themeShade="BF"/>
          <w:lang w:val="en-GB"/>
        </w:rPr>
        <w:t>to set concrete goals</w:t>
      </w:r>
      <w:r w:rsidRPr="1653C5CC" w:rsidR="00B27BA8">
        <w:rPr>
          <w:rFonts w:ascii="Times New Roman" w:hAnsi="Times New Roman" w:eastAsia="Times New Roman" w:cs="Times New Roman"/>
          <w:i w:val="1"/>
          <w:iCs w:val="1"/>
          <w:color w:val="365F91" w:themeColor="accent1" w:themeShade="BF"/>
          <w:lang w:val="en-GB"/>
        </w:rPr>
        <w:t xml:space="preserve"> for</w:t>
      </w:r>
      <w:r w:rsidRPr="1653C5CC">
        <w:rPr>
          <w:rFonts w:ascii="Times New Roman" w:hAnsi="Times New Roman" w:eastAsia="Times New Roman" w:cs="Times New Roman"/>
          <w:i w:val="1"/>
          <w:iCs w:val="1"/>
          <w:color w:val="365F91" w:themeColor="accent1" w:themeShade="BF"/>
          <w:lang w:val="en-GB"/>
        </w:rPr>
        <w:t xml:space="preserve"> </w:t>
      </w:r>
      <w:r w:rsidRPr="1653C5CC" w:rsidR="00B27BA8">
        <w:rPr>
          <w:rFonts w:ascii="Times New Roman" w:hAnsi="Times New Roman" w:eastAsia="Times New Roman" w:cs="Times New Roman"/>
          <w:i w:val="1"/>
          <w:iCs w:val="1"/>
          <w:color w:val="365F91" w:themeColor="accent1" w:themeShade="BF"/>
          <w:lang w:val="en-GB"/>
        </w:rPr>
        <w:t>the</w:t>
      </w:r>
      <w:r w:rsidRPr="1653C5CC" w:rsidR="00B27BA8">
        <w:rPr>
          <w:rFonts w:ascii="Times New Roman" w:hAnsi="Times New Roman" w:eastAsia="Times New Roman" w:cs="Times New Roman"/>
          <w:i w:val="1"/>
          <w:iCs w:val="1"/>
          <w:color w:val="365F91" w:themeColor="accent1" w:themeShade="BF"/>
          <w:lang w:val="en-GB"/>
        </w:rPr>
        <w:t xml:space="preserve"> program</w:t>
      </w:r>
      <w:r w:rsidRPr="1653C5CC" w:rsidR="00B27BA8">
        <w:rPr>
          <w:rFonts w:ascii="Times New Roman" w:hAnsi="Times New Roman" w:eastAsia="Times New Roman" w:cs="Times New Roman"/>
          <w:i w:val="1"/>
          <w:iCs w:val="1"/>
          <w:color w:val="365F91" w:themeColor="accent1" w:themeShade="BF"/>
          <w:lang w:val="en-GB"/>
        </w:rPr>
        <w:t xml:space="preserve">me </w:t>
      </w:r>
      <w:r w:rsidRPr="1653C5CC">
        <w:rPr>
          <w:rFonts w:ascii="Times New Roman" w:hAnsi="Times New Roman" w:eastAsia="Times New Roman" w:cs="Times New Roman"/>
          <w:i w:val="1"/>
          <w:iCs w:val="1"/>
          <w:color w:val="365F91" w:themeColor="accent1" w:themeShade="BF"/>
          <w:lang w:val="en-GB"/>
        </w:rPr>
        <w:t>(to improve producer income, market access, jobs creat</w:t>
      </w:r>
      <w:r w:rsidRPr="1653C5CC" w:rsidR="0078742C">
        <w:rPr>
          <w:rFonts w:ascii="Times New Roman" w:hAnsi="Times New Roman" w:eastAsia="Times New Roman" w:cs="Times New Roman"/>
          <w:i w:val="1"/>
          <w:iCs w:val="1"/>
          <w:color w:val="365F91" w:themeColor="accent1" w:themeShade="BF"/>
          <w:lang w:val="en-GB"/>
        </w:rPr>
        <w:t>ion</w:t>
      </w:r>
      <w:r w:rsidRPr="1653C5CC" w:rsidR="0078742C">
        <w:rPr>
          <w:rFonts w:ascii="Times New Roman" w:hAnsi="Times New Roman" w:eastAsia="Times New Roman" w:cs="Times New Roman"/>
          <w:i w:val="1"/>
          <w:iCs w:val="1"/>
          <w:color w:val="365F91" w:themeColor="accent1" w:themeShade="BF"/>
          <w:lang w:val="en-GB"/>
        </w:rPr>
        <w:t xml:space="preserve"> etc.</w:t>
      </w:r>
      <w:r w:rsidRPr="1653C5CC" w:rsidR="00954CCD">
        <w:rPr>
          <w:rFonts w:ascii="Times New Roman" w:hAnsi="Times New Roman" w:eastAsia="Times New Roman" w:cs="Times New Roman"/>
          <w:i w:val="1"/>
          <w:iCs w:val="1"/>
          <w:color w:val="365F91" w:themeColor="accent1" w:themeShade="BF"/>
          <w:lang w:val="en-GB"/>
        </w:rPr>
        <w:t>) and monitor</w:t>
      </w:r>
      <w:r w:rsidRPr="1653C5CC">
        <w:rPr>
          <w:rFonts w:ascii="Times New Roman" w:hAnsi="Times New Roman" w:eastAsia="Times New Roman" w:cs="Times New Roman"/>
          <w:i w:val="1"/>
          <w:iCs w:val="1"/>
          <w:color w:val="365F91" w:themeColor="accent1" w:themeShade="BF"/>
          <w:lang w:val="en-GB"/>
        </w:rPr>
        <w:t xml:space="preserve"> </w:t>
      </w:r>
      <w:r w:rsidRPr="1653C5CC" w:rsidR="0078742C">
        <w:rPr>
          <w:rFonts w:ascii="Times New Roman" w:hAnsi="Times New Roman" w:eastAsia="Times New Roman" w:cs="Times New Roman"/>
          <w:i w:val="1"/>
          <w:iCs w:val="1"/>
          <w:color w:val="365F91" w:themeColor="accent1" w:themeShade="BF"/>
          <w:lang w:val="en-GB"/>
        </w:rPr>
        <w:t xml:space="preserve">that </w:t>
      </w:r>
      <w:r w:rsidRPr="1653C5CC" w:rsidR="00B27BA8">
        <w:rPr>
          <w:rFonts w:ascii="Times New Roman" w:hAnsi="Times New Roman" w:eastAsia="Times New Roman" w:cs="Times New Roman"/>
          <w:i w:val="1"/>
          <w:iCs w:val="1"/>
          <w:color w:val="365F91" w:themeColor="accent1" w:themeShade="BF"/>
          <w:lang w:val="en-GB"/>
        </w:rPr>
        <w:t xml:space="preserve">they are being </w:t>
      </w:r>
      <w:r w:rsidRPr="1653C5CC" w:rsidR="0078742C">
        <w:rPr>
          <w:rFonts w:ascii="Times New Roman" w:hAnsi="Times New Roman" w:eastAsia="Times New Roman" w:cs="Times New Roman"/>
          <w:i w:val="1"/>
          <w:iCs w:val="1"/>
          <w:color w:val="365F91" w:themeColor="accent1" w:themeShade="BF"/>
          <w:lang w:val="en-GB"/>
        </w:rPr>
        <w:t>met?</w:t>
      </w:r>
    </w:p>
    <w:p xmlns:wp14="http://schemas.microsoft.com/office/word/2010/wordml" w:rsidRPr="00F40432" w:rsidR="00F40432" w:rsidP="00F40432" w:rsidRDefault="00F40432" w14:paraId="77250BE0" wp14:textId="77777777">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00F40432">
        <w:rPr>
          <w:rFonts w:ascii="Times New Roman" w:hAnsi="Times New Roman" w:cs="Times New Roman"/>
          <w:i/>
          <w:color w:val="365F91" w:themeColor="accent1" w:themeShade="BF"/>
          <w:lang w:val="en-GB"/>
        </w:rPr>
        <w:t xml:space="preserve">  What other</w:t>
      </w:r>
      <w:r w:rsidR="0078742C">
        <w:rPr>
          <w:rFonts w:ascii="Times New Roman" w:hAnsi="Times New Roman" w:cs="Times New Roman"/>
          <w:i/>
          <w:color w:val="365F91" w:themeColor="accent1" w:themeShade="BF"/>
          <w:lang w:val="en-GB"/>
        </w:rPr>
        <w:t xml:space="preserve"> relevant</w:t>
      </w:r>
      <w:r w:rsidRPr="00F40432">
        <w:rPr>
          <w:rFonts w:ascii="Times New Roman" w:hAnsi="Times New Roman" w:cs="Times New Roman"/>
          <w:i/>
          <w:color w:val="365F91" w:themeColor="accent1" w:themeShade="BF"/>
          <w:lang w:val="en-GB"/>
        </w:rPr>
        <w:t xml:space="preserve"> lessons </w:t>
      </w:r>
      <w:r w:rsidR="0078742C">
        <w:rPr>
          <w:rFonts w:ascii="Times New Roman" w:hAnsi="Times New Roman" w:cs="Times New Roman"/>
          <w:i/>
          <w:color w:val="365F91" w:themeColor="accent1" w:themeShade="BF"/>
          <w:lang w:val="en-GB"/>
        </w:rPr>
        <w:t xml:space="preserve">can you </w:t>
      </w:r>
      <w:r w:rsidRPr="00F40432">
        <w:rPr>
          <w:rFonts w:ascii="Times New Roman" w:hAnsi="Times New Roman" w:cs="Times New Roman"/>
          <w:i/>
          <w:color w:val="365F91" w:themeColor="accent1" w:themeShade="BF"/>
          <w:lang w:val="en-GB"/>
        </w:rPr>
        <w:t>draw from this case?</w:t>
      </w:r>
    </w:p>
    <w:p xmlns:wp14="http://schemas.microsoft.com/office/word/2010/wordml" w:rsidRPr="00F90208" w:rsidR="00FA6DEC" w:rsidP="00FA6DEC" w:rsidRDefault="00FA6DEC" w14:paraId="72193609" wp14:textId="77777777">
      <w:pPr>
        <w:autoSpaceDE w:val="0"/>
        <w:autoSpaceDN w:val="0"/>
        <w:adjustRightInd w:val="0"/>
        <w:spacing w:after="240"/>
        <w:jc w:val="both"/>
        <w:rPr>
          <w:rFonts w:ascii="Times New Roman" w:hAnsi="Times New Roman" w:cs="Times New Roman"/>
          <w:b/>
          <w:sz w:val="22"/>
          <w:szCs w:val="22"/>
          <w:lang w:val="en-GB"/>
        </w:rPr>
      </w:pPr>
      <w:r w:rsidRPr="00F90208">
        <w:rPr>
          <w:rFonts w:ascii="Times New Roman" w:hAnsi="Times New Roman" w:cs="Times New Roman"/>
          <w:b/>
          <w:sz w:val="22"/>
          <w:szCs w:val="22"/>
          <w:lang w:val="en-GB"/>
        </w:rPr>
        <w:lastRenderedPageBreak/>
        <w:t>REFERENCES</w:t>
      </w:r>
    </w:p>
    <w:p xmlns:wp14="http://schemas.microsoft.com/office/word/2010/wordml" w:rsidRPr="00F55FDD" w:rsidR="00FA6DEC" w:rsidP="00FA6DEC" w:rsidRDefault="00FA6DEC" w14:paraId="455DDC6D" wp14:textId="77777777">
      <w:pPr>
        <w:autoSpaceDE w:val="0"/>
        <w:autoSpaceDN w:val="0"/>
        <w:adjustRightInd w:val="0"/>
        <w:spacing w:after="120"/>
        <w:ind w:left="284" w:hanging="284"/>
        <w:jc w:val="both"/>
        <w:rPr>
          <w:rFonts w:ascii="Times New Roman" w:hAnsi="Times New Roman" w:eastAsia="Calibri" w:cs="Times New Roman"/>
          <w:iCs/>
          <w:sz w:val="22"/>
          <w:szCs w:val="22"/>
          <w:lang w:val="en-GB" w:eastAsia="en-US"/>
        </w:rPr>
      </w:pPr>
      <w:bookmarkStart w:name="_Toc443399641" w:id="1"/>
      <w:r w:rsidRPr="00F55FDD">
        <w:rPr>
          <w:rFonts w:ascii="Times New Roman" w:hAnsi="Times New Roman" w:eastAsia="Calibri" w:cs="Times New Roman"/>
          <w:b/>
          <w:bCs/>
          <w:color w:val="000000"/>
          <w:sz w:val="22"/>
          <w:szCs w:val="22"/>
          <w:lang w:val="en-GB" w:eastAsia="en-US"/>
        </w:rPr>
        <w:t>ADB.</w:t>
      </w:r>
      <w:r>
        <w:rPr>
          <w:rFonts w:ascii="Times New Roman" w:hAnsi="Times New Roman" w:eastAsia="Calibri" w:cs="Times New Roman"/>
          <w:color w:val="000000"/>
          <w:sz w:val="22"/>
          <w:szCs w:val="22"/>
          <w:lang w:val="en-GB" w:eastAsia="en-US"/>
        </w:rPr>
        <w:t xml:space="preserve"> 2011</w:t>
      </w:r>
      <w:r w:rsidRPr="00F55FDD">
        <w:rPr>
          <w:rFonts w:ascii="Times New Roman" w:hAnsi="Times New Roman" w:eastAsia="Calibri" w:cs="Times New Roman"/>
          <w:color w:val="000000"/>
          <w:sz w:val="22"/>
          <w:szCs w:val="22"/>
          <w:lang w:val="en-GB" w:eastAsia="en-US"/>
        </w:rPr>
        <w:t xml:space="preserve">. </w:t>
      </w:r>
      <w:r w:rsidRPr="00F55FDD">
        <w:rPr>
          <w:rFonts w:ascii="Times New Roman" w:hAnsi="Times New Roman" w:eastAsia="Calibri" w:cs="Times New Roman"/>
          <w:i/>
          <w:iCs/>
          <w:color w:val="000000"/>
          <w:sz w:val="22"/>
          <w:szCs w:val="22"/>
          <w:lang w:val="en-GB" w:eastAsia="en-US"/>
        </w:rPr>
        <w:t>Core Agriculture Support Program Phase II 2011–2015</w:t>
      </w:r>
      <w:r w:rsidRPr="00F55FDD">
        <w:rPr>
          <w:rFonts w:ascii="Times New Roman" w:hAnsi="Times New Roman" w:eastAsia="Calibri" w:cs="Times New Roman"/>
          <w:color w:val="000000"/>
          <w:sz w:val="22"/>
          <w:szCs w:val="22"/>
          <w:lang w:val="en-GB" w:eastAsia="en-US"/>
        </w:rPr>
        <w:t xml:space="preserve">. </w:t>
      </w:r>
      <w:r w:rsidRPr="00F55FDD">
        <w:rPr>
          <w:rFonts w:ascii="Times New Roman" w:hAnsi="Times New Roman" w:eastAsia="Calibri" w:cs="Times New Roman"/>
          <w:iCs/>
          <w:color w:val="000000"/>
          <w:sz w:val="22"/>
          <w:szCs w:val="22"/>
          <w:lang w:val="en-GB" w:eastAsia="en-US"/>
        </w:rPr>
        <w:t>GMS Working Group on Agriculture.</w:t>
      </w:r>
      <w:r w:rsidRPr="00F55FDD">
        <w:rPr>
          <w:rFonts w:ascii="Times New Roman" w:hAnsi="Times New Roman" w:eastAsia="Calibri" w:cs="Times New Roman"/>
          <w:b/>
          <w:iCs/>
          <w:color w:val="000000"/>
          <w:sz w:val="22"/>
          <w:szCs w:val="22"/>
          <w:lang w:val="en-GB" w:eastAsia="en-US"/>
        </w:rPr>
        <w:t xml:space="preserve"> </w:t>
      </w:r>
      <w:r w:rsidRPr="00F55FDD">
        <w:rPr>
          <w:rFonts w:ascii="Times New Roman" w:hAnsi="Times New Roman" w:eastAsia="Calibri" w:cs="Times New Roman"/>
          <w:iCs/>
          <w:sz w:val="22"/>
          <w:szCs w:val="22"/>
          <w:lang w:val="en-GB" w:eastAsia="en-US"/>
        </w:rPr>
        <w:t>Manila, Asian Development Bank</w:t>
      </w:r>
      <w:r w:rsidRPr="00F55FDD">
        <w:rPr>
          <w:rFonts w:ascii="Calibri" w:hAnsi="Calibri" w:eastAsia="Calibri" w:cs="Times New Roman"/>
          <w:iCs/>
          <w:sz w:val="22"/>
          <w:szCs w:val="22"/>
          <w:lang w:val="en-GB" w:eastAsia="en-US"/>
        </w:rPr>
        <w:t xml:space="preserve">. </w:t>
      </w:r>
      <w:r w:rsidRPr="00F55FDD">
        <w:rPr>
          <w:rFonts w:ascii="Times New Roman" w:hAnsi="Times New Roman" w:eastAsia="Calibri" w:cs="Times New Roman"/>
          <w:bCs/>
          <w:iCs/>
          <w:color w:val="000000"/>
          <w:sz w:val="22"/>
          <w:szCs w:val="22"/>
          <w:lang w:val="en-GB" w:eastAsia="en-US"/>
        </w:rPr>
        <w:t xml:space="preserve">Available at: </w:t>
      </w:r>
      <w:hyperlink w:history="1" r:id="rId9">
        <w:r w:rsidRPr="00F55FDD">
          <w:rPr>
            <w:rFonts w:ascii="Times New Roman" w:hAnsi="Times New Roman" w:eastAsia="Calibri" w:cs="Times New Roman"/>
            <w:iCs/>
            <w:color w:val="336699"/>
            <w:sz w:val="22"/>
            <w:szCs w:val="22"/>
            <w:u w:val="single"/>
            <w:lang w:val="en-GB" w:eastAsia="en-US"/>
          </w:rPr>
          <w:t>http://www10.iadb.org/intal/intalcdi/PE/2012/12111.pdf</w:t>
        </w:r>
      </w:hyperlink>
      <w:r w:rsidRPr="00F55FDD">
        <w:rPr>
          <w:rFonts w:ascii="Times New Roman" w:hAnsi="Times New Roman" w:eastAsia="Calibri" w:cs="Times New Roman"/>
          <w:iCs/>
          <w:sz w:val="22"/>
          <w:szCs w:val="22"/>
          <w:lang w:val="en-GB" w:eastAsia="en-US"/>
        </w:rPr>
        <w:t xml:space="preserve"> </w:t>
      </w:r>
      <w:r w:rsidRPr="00F55FDD">
        <w:rPr>
          <w:rFonts w:ascii="Times New Roman" w:hAnsi="Times New Roman" w:eastAsia="Calibri" w:cs="Times New Roman"/>
          <w:iCs/>
          <w:sz w:val="22"/>
          <w:szCs w:val="22"/>
          <w:lang w:val="en-GB" w:eastAsia="en-US"/>
        </w:rPr>
        <w:tab/>
      </w:r>
      <w:r w:rsidRPr="00F55FDD">
        <w:rPr>
          <w:rFonts w:ascii="Times New Roman" w:hAnsi="Times New Roman" w:eastAsia="Calibri" w:cs="Times New Roman"/>
          <w:iCs/>
          <w:sz w:val="22"/>
          <w:szCs w:val="22"/>
          <w:lang w:val="en-GB" w:eastAsia="en-US"/>
        </w:rPr>
        <w:t xml:space="preserve"> </w:t>
      </w:r>
    </w:p>
    <w:p xmlns:wp14="http://schemas.microsoft.com/office/word/2010/wordml" w:rsidRPr="00F55FDD" w:rsidR="00FA6DEC" w:rsidP="00FA6DEC" w:rsidRDefault="00FA6DEC" w14:paraId="653565B0" wp14:textId="77777777">
      <w:pPr>
        <w:spacing w:after="120"/>
        <w:ind w:left="284" w:hanging="284"/>
        <w:jc w:val="both"/>
        <w:rPr>
          <w:rFonts w:ascii="Times New Roman" w:hAnsi="Times New Roman" w:eastAsia="Calibri" w:cs="Times New Roman"/>
          <w:sz w:val="22"/>
          <w:szCs w:val="22"/>
          <w:lang w:val="en-GB" w:eastAsia="en-US"/>
        </w:rPr>
      </w:pPr>
      <w:r w:rsidRPr="00F55FDD">
        <w:rPr>
          <w:rFonts w:ascii="Times New Roman" w:hAnsi="Times New Roman" w:eastAsia="Calibri" w:cs="Times New Roman"/>
          <w:b/>
          <w:bCs/>
          <w:sz w:val="22"/>
          <w:szCs w:val="22"/>
          <w:lang w:val="en-GB" w:eastAsia="en-US"/>
        </w:rPr>
        <w:t>ADB.</w:t>
      </w:r>
      <w:r w:rsidRPr="00F55FDD">
        <w:rPr>
          <w:rFonts w:ascii="Times New Roman" w:hAnsi="Times New Roman" w:eastAsia="Calibri" w:cs="Times New Roman"/>
          <w:sz w:val="22"/>
          <w:szCs w:val="22"/>
          <w:lang w:val="en-GB" w:eastAsia="en-US"/>
        </w:rPr>
        <w:t xml:space="preserve"> 2012a. </w:t>
      </w:r>
      <w:r w:rsidRPr="00F55FDD">
        <w:rPr>
          <w:rFonts w:ascii="Times New Roman" w:hAnsi="Times New Roman" w:eastAsia="Calibri" w:cs="Times New Roman"/>
          <w:i/>
          <w:iCs/>
          <w:sz w:val="22"/>
          <w:szCs w:val="22"/>
          <w:lang w:val="en-GB" w:eastAsia="en-US"/>
        </w:rPr>
        <w:t>Agricultural Trade Facilitation in the Greater Mekong Subregion.</w:t>
      </w:r>
      <w:r w:rsidRPr="00F55FDD">
        <w:rPr>
          <w:rFonts w:ascii="Times New Roman" w:hAnsi="Times New Roman" w:eastAsia="Calibri" w:cs="Times New Roman"/>
          <w:sz w:val="22"/>
          <w:szCs w:val="22"/>
          <w:lang w:val="en-GB" w:eastAsia="en-US"/>
        </w:rPr>
        <w:t xml:space="preserve"> </w:t>
      </w:r>
      <w:r w:rsidRPr="00F55FDD">
        <w:rPr>
          <w:rFonts w:ascii="Times New Roman" w:hAnsi="Times New Roman" w:eastAsia="Calibri" w:cs="Times New Roman"/>
          <w:iCs/>
          <w:sz w:val="22"/>
          <w:szCs w:val="22"/>
          <w:lang w:val="en-GB" w:eastAsia="en-US"/>
        </w:rPr>
        <w:t>Manila, Asian Development Bank</w:t>
      </w:r>
      <w:r w:rsidRPr="00F55FDD">
        <w:rPr>
          <w:rFonts w:ascii="Calibri" w:hAnsi="Calibri" w:eastAsia="Calibri" w:cs="Times New Roman"/>
          <w:iCs/>
          <w:sz w:val="22"/>
          <w:szCs w:val="22"/>
          <w:lang w:val="en-GB" w:eastAsia="en-US"/>
        </w:rPr>
        <w:t xml:space="preserve">. </w:t>
      </w:r>
      <w:r w:rsidRPr="00F55FDD">
        <w:rPr>
          <w:rFonts w:ascii="Times New Roman" w:hAnsi="Times New Roman" w:eastAsia="Calibri" w:cs="Times New Roman"/>
          <w:bCs/>
          <w:iCs/>
          <w:color w:val="000000"/>
          <w:sz w:val="22"/>
          <w:szCs w:val="22"/>
          <w:lang w:val="en-GB" w:eastAsia="en-US"/>
        </w:rPr>
        <w:t xml:space="preserve">Available at: </w:t>
      </w:r>
      <w:hyperlink w:history="1" r:id="rId10">
        <w:r w:rsidRPr="00F55FDD">
          <w:rPr>
            <w:rFonts w:ascii="Times New Roman" w:hAnsi="Times New Roman" w:eastAsia="Calibri" w:cs="Times New Roman"/>
            <w:iCs/>
            <w:color w:val="336699"/>
            <w:sz w:val="22"/>
            <w:szCs w:val="22"/>
            <w:u w:val="single"/>
            <w:lang w:val="en-GB" w:eastAsia="en-US"/>
          </w:rPr>
          <w:t>http://www.adb.org/sites/default/files/publication/29959/agricultural-trade-facilitation-gms.pdf</w:t>
        </w:r>
      </w:hyperlink>
      <w:r w:rsidRPr="00F55FDD">
        <w:rPr>
          <w:rFonts w:ascii="Times New Roman" w:hAnsi="Times New Roman" w:eastAsia="Calibri" w:cs="Times New Roman"/>
          <w:bCs/>
          <w:iCs/>
          <w:color w:val="000000"/>
          <w:sz w:val="22"/>
          <w:szCs w:val="22"/>
          <w:lang w:val="en-GB" w:eastAsia="en-US"/>
        </w:rPr>
        <w:t xml:space="preserve"> </w:t>
      </w:r>
    </w:p>
    <w:p xmlns:wp14="http://schemas.microsoft.com/office/word/2010/wordml" w:rsidRPr="00F55FDD" w:rsidR="00FA6DEC" w:rsidP="00FA6DEC" w:rsidRDefault="00FA6DEC" w14:paraId="19E04D16" wp14:textId="77777777">
      <w:pPr>
        <w:spacing w:after="120"/>
        <w:ind w:left="284" w:hanging="284"/>
        <w:jc w:val="both"/>
        <w:rPr>
          <w:rFonts w:ascii="Times New Roman" w:hAnsi="Times New Roman" w:eastAsia="Calibri" w:cs="Times New Roman"/>
          <w:sz w:val="22"/>
          <w:szCs w:val="22"/>
          <w:lang w:val="en-GB" w:eastAsia="en-US"/>
        </w:rPr>
      </w:pPr>
      <w:r w:rsidRPr="00F55FDD">
        <w:rPr>
          <w:rFonts w:ascii="Times New Roman" w:hAnsi="Times New Roman" w:eastAsia="Calibri" w:cs="Times New Roman"/>
          <w:b/>
          <w:bCs/>
          <w:sz w:val="22"/>
          <w:szCs w:val="22"/>
          <w:lang w:val="en-GB" w:eastAsia="en-US"/>
        </w:rPr>
        <w:t>ADB.</w:t>
      </w:r>
      <w:r w:rsidRPr="00F55FDD">
        <w:rPr>
          <w:rFonts w:ascii="Times New Roman" w:hAnsi="Times New Roman" w:eastAsia="Calibri" w:cs="Times New Roman"/>
          <w:sz w:val="22"/>
          <w:szCs w:val="22"/>
          <w:lang w:val="en-GB" w:eastAsia="en-US"/>
        </w:rPr>
        <w:t xml:space="preserve"> 2012b. </w:t>
      </w:r>
      <w:r w:rsidRPr="00F55FDD">
        <w:rPr>
          <w:rFonts w:ascii="Times New Roman" w:hAnsi="Times New Roman" w:eastAsia="Calibri" w:cs="Times New Roman"/>
          <w:i/>
          <w:iCs/>
          <w:sz w:val="22"/>
          <w:szCs w:val="22"/>
          <w:lang w:val="en-GB" w:eastAsia="en-US"/>
        </w:rPr>
        <w:t>Greater Mekong Subregion – Twenty Years of Partnership.</w:t>
      </w:r>
      <w:r w:rsidRPr="00F55FDD">
        <w:rPr>
          <w:rFonts w:ascii="Times New Roman" w:hAnsi="Times New Roman" w:eastAsia="Calibri" w:cs="Times New Roman"/>
          <w:sz w:val="22"/>
          <w:szCs w:val="22"/>
          <w:lang w:val="en-GB" w:eastAsia="en-US"/>
        </w:rPr>
        <w:t xml:space="preserve"> </w:t>
      </w:r>
      <w:r w:rsidRPr="00F55FDD">
        <w:rPr>
          <w:rFonts w:ascii="Times New Roman" w:hAnsi="Times New Roman" w:eastAsia="Calibri" w:cs="Times New Roman"/>
          <w:iCs/>
          <w:sz w:val="22"/>
          <w:szCs w:val="22"/>
          <w:lang w:val="en-GB" w:eastAsia="en-US"/>
        </w:rPr>
        <w:t>Manila, Asian Development Bank.</w:t>
      </w:r>
      <w:r w:rsidRPr="00F55FDD">
        <w:rPr>
          <w:rFonts w:ascii="Times New Roman" w:hAnsi="Times New Roman" w:eastAsia="Calibri" w:cs="Times New Roman"/>
          <w:sz w:val="22"/>
          <w:szCs w:val="22"/>
          <w:lang w:val="en-GB" w:eastAsia="en-US"/>
        </w:rPr>
        <w:t xml:space="preserve"> Available at: </w:t>
      </w:r>
      <w:hyperlink w:history="1" r:id="rId11">
        <w:r w:rsidRPr="00F55FDD">
          <w:rPr>
            <w:rFonts w:ascii="Times New Roman" w:hAnsi="Times New Roman" w:eastAsia="Calibri" w:cs="Times New Roman"/>
            <w:color w:val="336699"/>
            <w:sz w:val="22"/>
            <w:szCs w:val="22"/>
            <w:u w:val="single"/>
            <w:lang w:val="en-GB" w:eastAsia="en-US"/>
          </w:rPr>
          <w:t>http://adb.org/sites/default/files/pub/2012/gms-20-yrs-partnership.pdf</w:t>
        </w:r>
      </w:hyperlink>
      <w:r w:rsidRPr="00F55FDD">
        <w:rPr>
          <w:rFonts w:ascii="Times New Roman" w:hAnsi="Times New Roman" w:eastAsia="Calibri" w:cs="Times New Roman"/>
          <w:sz w:val="22"/>
          <w:szCs w:val="22"/>
          <w:lang w:val="en-GB" w:eastAsia="en-US"/>
        </w:rPr>
        <w:t xml:space="preserve"> </w:t>
      </w:r>
    </w:p>
    <w:bookmarkEnd w:id="1"/>
    <w:p xmlns:wp14="http://schemas.microsoft.com/office/word/2010/wordml" w:rsidR="00FA6DEC" w:rsidP="00FA6DEC" w:rsidRDefault="00FA6DEC" w14:paraId="0AFFCDD1" wp14:textId="77777777">
      <w:pPr>
        <w:autoSpaceDE w:val="0"/>
        <w:autoSpaceDN w:val="0"/>
        <w:adjustRightInd w:val="0"/>
        <w:spacing w:after="120"/>
        <w:ind w:left="284" w:hanging="284"/>
        <w:jc w:val="both"/>
        <w:rPr>
          <w:rFonts w:ascii="Times New Roman" w:hAnsi="Times New Roman" w:eastAsia="Calibri" w:cs="Times New Roman"/>
          <w:bCs/>
          <w:sz w:val="22"/>
          <w:szCs w:val="22"/>
          <w:lang w:val="en-GB" w:eastAsia="en-US"/>
        </w:rPr>
      </w:pPr>
      <w:r w:rsidRPr="00F55FDD">
        <w:rPr>
          <w:rFonts w:ascii="Times New Roman" w:hAnsi="Times New Roman" w:eastAsia="Calibri" w:cs="Times New Roman"/>
          <w:b/>
          <w:bCs/>
          <w:color w:val="000000"/>
          <w:sz w:val="22"/>
          <w:szCs w:val="22"/>
          <w:lang w:val="en-GB" w:eastAsia="en-US"/>
        </w:rPr>
        <w:t>ADB.</w:t>
      </w:r>
      <w:r w:rsidRPr="00F55FDD">
        <w:rPr>
          <w:rFonts w:ascii="Times New Roman" w:hAnsi="Times New Roman" w:eastAsia="Calibri" w:cs="Times New Roman"/>
          <w:color w:val="000000"/>
          <w:sz w:val="22"/>
          <w:szCs w:val="22"/>
          <w:lang w:val="en-GB" w:eastAsia="en-US"/>
        </w:rPr>
        <w:t xml:space="preserve"> </w:t>
      </w:r>
      <w:r w:rsidRPr="00F55FDD">
        <w:rPr>
          <w:rFonts w:ascii="Times New Roman" w:hAnsi="Times New Roman" w:eastAsia="Calibri" w:cs="Times New Roman"/>
          <w:bCs/>
          <w:sz w:val="22"/>
          <w:szCs w:val="22"/>
          <w:lang w:val="en-GB" w:eastAsia="en-US"/>
        </w:rPr>
        <w:t xml:space="preserve">2014. </w:t>
      </w:r>
      <w:r w:rsidRPr="00F55FDD">
        <w:rPr>
          <w:rFonts w:ascii="Times New Roman" w:hAnsi="Times New Roman" w:eastAsia="Calibri" w:cs="Times New Roman"/>
          <w:bCs/>
          <w:i/>
          <w:iCs/>
          <w:sz w:val="22"/>
          <w:szCs w:val="22"/>
          <w:lang w:val="en-GB" w:eastAsia="en-US"/>
        </w:rPr>
        <w:t xml:space="preserve">Economic Corridor Development for Inclusive Asian Regional Integration. </w:t>
      </w:r>
      <w:proofErr w:type="spellStart"/>
      <w:r w:rsidRPr="00F55FDD">
        <w:rPr>
          <w:rFonts w:ascii="Times New Roman" w:hAnsi="Times New Roman" w:eastAsia="Calibri" w:cs="Times New Roman"/>
          <w:bCs/>
          <w:i/>
          <w:iCs/>
          <w:sz w:val="22"/>
          <w:szCs w:val="22"/>
          <w:lang w:val="en-GB" w:eastAsia="en-US"/>
        </w:rPr>
        <w:t>Modeling</w:t>
      </w:r>
      <w:proofErr w:type="spellEnd"/>
      <w:r w:rsidRPr="00F55FDD">
        <w:rPr>
          <w:rFonts w:ascii="Times New Roman" w:hAnsi="Times New Roman" w:eastAsia="Calibri" w:cs="Times New Roman"/>
          <w:bCs/>
          <w:i/>
          <w:iCs/>
          <w:sz w:val="22"/>
          <w:szCs w:val="22"/>
          <w:lang w:val="en-GB" w:eastAsia="en-US"/>
        </w:rPr>
        <w:t xml:space="preserve"> Approach to Economic Corridors.</w:t>
      </w:r>
      <w:r w:rsidRPr="00F55FDD">
        <w:rPr>
          <w:rFonts w:ascii="Times New Roman" w:hAnsi="Times New Roman" w:eastAsia="Calibri" w:cs="Times New Roman"/>
          <w:bCs/>
          <w:sz w:val="22"/>
          <w:szCs w:val="22"/>
          <w:lang w:val="en-GB" w:eastAsia="en-US"/>
        </w:rPr>
        <w:t xml:space="preserve"> </w:t>
      </w:r>
      <w:r w:rsidRPr="00F55FDD">
        <w:rPr>
          <w:rFonts w:ascii="Times New Roman" w:hAnsi="Times New Roman" w:eastAsia="Calibri" w:cs="Times New Roman"/>
          <w:iCs/>
          <w:sz w:val="22"/>
          <w:szCs w:val="22"/>
          <w:lang w:val="en-GB" w:eastAsia="en-US"/>
        </w:rPr>
        <w:t>Manila, Asian Development Bank.</w:t>
      </w:r>
      <w:r w:rsidRPr="00F55FDD">
        <w:rPr>
          <w:rFonts w:ascii="Times New Roman" w:hAnsi="Times New Roman" w:eastAsia="Calibri" w:cs="Times New Roman"/>
          <w:sz w:val="22"/>
          <w:szCs w:val="22"/>
          <w:lang w:val="en-GB" w:eastAsia="en-US"/>
        </w:rPr>
        <w:t xml:space="preserve"> </w:t>
      </w:r>
      <w:r w:rsidRPr="00F55FDD">
        <w:rPr>
          <w:rFonts w:ascii="Times New Roman" w:hAnsi="Times New Roman" w:eastAsia="Calibri" w:cs="Times New Roman"/>
          <w:bCs/>
          <w:sz w:val="22"/>
          <w:szCs w:val="22"/>
          <w:lang w:val="en-GB" w:eastAsia="en-US"/>
        </w:rPr>
        <w:t xml:space="preserve">Available at: </w:t>
      </w:r>
      <w:hyperlink w:history="1" r:id="rId12">
        <w:r w:rsidRPr="00F55FDD">
          <w:rPr>
            <w:rFonts w:ascii="Times New Roman" w:hAnsi="Times New Roman" w:eastAsia="Calibri" w:cs="Times New Roman"/>
            <w:color w:val="336699"/>
            <w:sz w:val="22"/>
            <w:szCs w:val="22"/>
            <w:u w:val="single"/>
            <w:lang w:val="en-GB" w:eastAsia="en-US"/>
          </w:rPr>
          <w:t>http://adb.org/sites/default/files/pub/2014/economic-corridor-development.pdf</w:t>
        </w:r>
      </w:hyperlink>
      <w:r w:rsidRPr="00F55FDD">
        <w:rPr>
          <w:rFonts w:ascii="Times New Roman" w:hAnsi="Times New Roman" w:eastAsia="Calibri" w:cs="Times New Roman"/>
          <w:bCs/>
          <w:sz w:val="22"/>
          <w:szCs w:val="22"/>
          <w:lang w:val="en-GB" w:eastAsia="en-US"/>
        </w:rPr>
        <w:t xml:space="preserve"> </w:t>
      </w:r>
    </w:p>
    <w:p xmlns:wp14="http://schemas.microsoft.com/office/word/2010/wordml" w:rsidRPr="00A53290" w:rsidR="00FA6DEC" w:rsidP="00FA6DEC" w:rsidRDefault="00FA6DEC" w14:paraId="0777879C" wp14:textId="77777777">
      <w:pPr>
        <w:autoSpaceDE w:val="0"/>
        <w:autoSpaceDN w:val="0"/>
        <w:adjustRightInd w:val="0"/>
        <w:spacing w:after="120"/>
        <w:ind w:left="284" w:hanging="284"/>
        <w:jc w:val="both"/>
        <w:rPr>
          <w:rFonts w:ascii="Times New Roman" w:hAnsi="Times New Roman" w:eastAsia="Calibri" w:cs="Times New Roman"/>
          <w:b/>
          <w:bCs/>
          <w:sz w:val="22"/>
          <w:szCs w:val="22"/>
          <w:lang w:val="en-GB" w:eastAsia="en-US"/>
        </w:rPr>
      </w:pPr>
      <w:r w:rsidRPr="00A53290">
        <w:rPr>
          <w:rFonts w:ascii="Times New Roman" w:hAnsi="Times New Roman" w:eastAsia="Calibri" w:cs="Times New Roman"/>
          <w:b/>
          <w:bCs/>
          <w:sz w:val="22"/>
          <w:szCs w:val="22"/>
          <w:lang w:val="en-GB" w:eastAsia="en-US"/>
        </w:rPr>
        <w:t>Gálvez Nogales, E.</w:t>
      </w:r>
      <w:r>
        <w:rPr>
          <w:rFonts w:ascii="Times New Roman" w:hAnsi="Times New Roman" w:eastAsia="Calibri" w:cs="Times New Roman"/>
          <w:b/>
          <w:bCs/>
          <w:sz w:val="22"/>
          <w:szCs w:val="22"/>
          <w:lang w:val="en-GB" w:eastAsia="en-US"/>
        </w:rPr>
        <w:t xml:space="preserve"> </w:t>
      </w:r>
      <w:r w:rsidRPr="00A53290">
        <w:rPr>
          <w:rFonts w:ascii="Times New Roman" w:hAnsi="Times New Roman" w:eastAsia="Calibri" w:cs="Times New Roman"/>
          <w:bCs/>
          <w:sz w:val="22"/>
          <w:szCs w:val="22"/>
          <w:lang w:val="en-GB" w:eastAsia="en-US"/>
        </w:rPr>
        <w:t xml:space="preserve">2014. </w:t>
      </w:r>
      <w:r w:rsidRPr="00A53290">
        <w:rPr>
          <w:rFonts w:ascii="Times New Roman" w:hAnsi="Times New Roman" w:eastAsia="Calibri" w:cs="Times New Roman"/>
          <w:bCs/>
          <w:i/>
          <w:iCs/>
          <w:sz w:val="22"/>
          <w:szCs w:val="22"/>
          <w:lang w:val="en-GB" w:eastAsia="en-US"/>
        </w:rPr>
        <w:t>Making Economic Corridors Work for the Agricultural Sector</w:t>
      </w:r>
      <w:r w:rsidRPr="00A53290">
        <w:rPr>
          <w:rFonts w:ascii="Times New Roman" w:hAnsi="Times New Roman" w:eastAsia="Calibri" w:cs="Times New Roman"/>
          <w:bCs/>
          <w:sz w:val="22"/>
          <w:szCs w:val="22"/>
          <w:lang w:val="en-GB" w:eastAsia="en-US"/>
        </w:rPr>
        <w:t xml:space="preserve">. Food and Agriculture Organization of the United Nations. Available at: </w:t>
      </w:r>
      <w:hyperlink w:history="1" r:id="rId13">
        <w:r w:rsidRPr="00A53290">
          <w:rPr>
            <w:rStyle w:val="Hyperlink"/>
            <w:rFonts w:ascii="Times New Roman" w:hAnsi="Times New Roman" w:eastAsia="Calibri" w:cs="Times New Roman"/>
            <w:bCs/>
            <w:sz w:val="22"/>
            <w:szCs w:val="22"/>
            <w:lang w:val="en-GB" w:eastAsia="en-US"/>
          </w:rPr>
          <w:t>http://www.fao.org/3/a-i4204e.pdf</w:t>
        </w:r>
      </w:hyperlink>
      <w:r w:rsidRPr="00A53290">
        <w:rPr>
          <w:rFonts w:ascii="Times New Roman" w:hAnsi="Times New Roman" w:eastAsia="Calibri" w:cs="Times New Roman"/>
          <w:bCs/>
          <w:sz w:val="22"/>
          <w:szCs w:val="22"/>
          <w:lang w:val="en-GB" w:eastAsia="en-US"/>
        </w:rPr>
        <w:t xml:space="preserve"> </w:t>
      </w:r>
    </w:p>
    <w:p xmlns:wp14="http://schemas.microsoft.com/office/word/2010/wordml" w:rsidRPr="00E943D9" w:rsidR="00FA6DEC" w:rsidP="00FA6DEC" w:rsidRDefault="00FA6DEC" w14:paraId="503CFD6E" wp14:textId="77777777">
      <w:pPr>
        <w:autoSpaceDE w:val="0"/>
        <w:autoSpaceDN w:val="0"/>
        <w:adjustRightInd w:val="0"/>
        <w:ind w:left="284" w:hanging="284"/>
        <w:jc w:val="both"/>
        <w:rPr>
          <w:rFonts w:ascii="Times New Roman" w:hAnsi="Times New Roman" w:eastAsia="Calibri" w:cs="Times New Roman"/>
          <w:iCs/>
          <w:color w:val="000000"/>
          <w:sz w:val="22"/>
          <w:szCs w:val="22"/>
          <w:lang w:val="en-GB" w:eastAsia="en-US"/>
        </w:rPr>
      </w:pPr>
      <w:r w:rsidRPr="00E943D9">
        <w:rPr>
          <w:rFonts w:ascii="Times New Roman" w:hAnsi="Times New Roman" w:eastAsia="Calibri" w:cs="Times New Roman"/>
          <w:b/>
          <w:bCs/>
          <w:sz w:val="22"/>
          <w:szCs w:val="22"/>
          <w:lang w:val="en-GB" w:eastAsia="en-US"/>
        </w:rPr>
        <w:t>Srivastava, P. &amp; Kumar, U.</w:t>
      </w:r>
      <w:r w:rsidRPr="00E943D9">
        <w:rPr>
          <w:rFonts w:ascii="Times New Roman" w:hAnsi="Times New Roman" w:eastAsia="Calibri" w:cs="Times New Roman"/>
          <w:sz w:val="22"/>
          <w:szCs w:val="22"/>
          <w:lang w:val="en-GB" w:eastAsia="en-US"/>
        </w:rPr>
        <w:t xml:space="preserve"> 2012. </w:t>
      </w:r>
      <w:r w:rsidRPr="00E943D9">
        <w:rPr>
          <w:rFonts w:ascii="Times New Roman" w:hAnsi="Times New Roman" w:eastAsia="Calibri" w:cs="Times New Roman"/>
          <w:i/>
          <w:iCs/>
          <w:sz w:val="22"/>
          <w:szCs w:val="22"/>
          <w:lang w:val="en-GB" w:eastAsia="en-US"/>
        </w:rPr>
        <w:t>Trade and Trade Facilitation in the Greater Mekong Subregion</w:t>
      </w:r>
      <w:r w:rsidRPr="00E943D9">
        <w:rPr>
          <w:rFonts w:ascii="Times New Roman" w:hAnsi="Times New Roman" w:eastAsia="Calibri" w:cs="Times New Roman"/>
          <w:sz w:val="22"/>
          <w:szCs w:val="22"/>
          <w:lang w:val="en-GB" w:eastAsia="en-US"/>
        </w:rPr>
        <w:t xml:space="preserve">. </w:t>
      </w:r>
      <w:r w:rsidRPr="00E943D9">
        <w:rPr>
          <w:rFonts w:ascii="Times New Roman" w:hAnsi="Times New Roman" w:eastAsia="Calibri" w:cs="Times New Roman"/>
          <w:iCs/>
          <w:color w:val="000000"/>
          <w:sz w:val="22"/>
          <w:szCs w:val="22"/>
          <w:lang w:val="en-GB" w:eastAsia="en-US"/>
        </w:rPr>
        <w:t xml:space="preserve">ADB and Australian Aid. Manila, Asian Development Bank. Available at: </w:t>
      </w:r>
    </w:p>
    <w:p xmlns:wp14="http://schemas.microsoft.com/office/word/2010/wordml" w:rsidR="00FA6DEC" w:rsidP="00FA6DEC" w:rsidRDefault="0095552D" w14:paraId="33A6A9E8" wp14:textId="77777777">
      <w:pPr>
        <w:autoSpaceDE w:val="0"/>
        <w:autoSpaceDN w:val="0"/>
        <w:adjustRightInd w:val="0"/>
        <w:spacing w:after="120"/>
        <w:ind w:left="284" w:hanging="284"/>
        <w:jc w:val="both"/>
        <w:rPr>
          <w:rFonts w:ascii="Times New Roman" w:hAnsi="Times New Roman" w:eastAsia="Calibri" w:cs="Times New Roman"/>
          <w:color w:val="000000"/>
          <w:sz w:val="22"/>
          <w:szCs w:val="22"/>
          <w:lang w:val="en-GB" w:eastAsia="en-US"/>
        </w:rPr>
      </w:pPr>
      <w:hyperlink w:history="1" r:id="rId14">
        <w:r w:rsidRPr="00E943D9" w:rsidR="00FA6DEC">
          <w:rPr>
            <w:rFonts w:ascii="Times New Roman" w:hAnsi="Times New Roman" w:eastAsia="Calibri" w:cs="Times New Roman"/>
            <w:iCs/>
            <w:color w:val="336699"/>
            <w:sz w:val="22"/>
            <w:szCs w:val="22"/>
            <w:u w:val="single"/>
            <w:lang w:val="en-GB" w:eastAsia="en-US"/>
          </w:rPr>
          <w:t>http://www.adb.org/sites/default/files/publication/29977/trade-and-trade-facilitation-gms.pdf</w:t>
        </w:r>
      </w:hyperlink>
      <w:r w:rsidRPr="00E943D9" w:rsidR="00FA6DEC">
        <w:rPr>
          <w:rFonts w:ascii="Times New Roman" w:hAnsi="Times New Roman" w:eastAsia="Calibri" w:cs="Times New Roman"/>
          <w:iCs/>
          <w:color w:val="000000"/>
          <w:sz w:val="22"/>
          <w:szCs w:val="22"/>
          <w:lang w:val="en-GB" w:eastAsia="en-US"/>
        </w:rPr>
        <w:t xml:space="preserve"> </w:t>
      </w:r>
    </w:p>
    <w:p xmlns:wp14="http://schemas.microsoft.com/office/word/2010/wordml" w:rsidRPr="00CD4DAF" w:rsidR="00FA6DEC" w:rsidP="00F40432" w:rsidRDefault="00FA6DEC" w14:paraId="4A222F2A" wp14:textId="77777777">
      <w:pPr>
        <w:autoSpaceDE w:val="0"/>
        <w:autoSpaceDN w:val="0"/>
        <w:adjustRightInd w:val="0"/>
        <w:spacing w:after="120"/>
        <w:jc w:val="both"/>
        <w:rPr>
          <w:rFonts w:ascii="Times New Roman" w:hAnsi="Times New Roman" w:cs="Times New Roman"/>
          <w:i/>
          <w:color w:val="365F91" w:themeColor="accent1" w:themeShade="BF"/>
          <w:lang w:val="en-GB"/>
        </w:rPr>
      </w:pPr>
    </w:p>
    <w:sectPr w:rsidRPr="00CD4DAF" w:rsidR="00FA6DEC" w:rsidSect="00D17133">
      <w:footerReference w:type="default" r:id="rId15"/>
      <w:pgSz w:w="11900" w:h="16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B476B" w:rsidP="007031E1" w:rsidRDefault="004B476B" w14:paraId="37B4B0E5" wp14:textId="77777777">
      <w:r>
        <w:separator/>
      </w:r>
    </w:p>
  </w:endnote>
  <w:endnote w:type="continuationSeparator" w:id="0">
    <w:p xmlns:wp14="http://schemas.microsoft.com/office/word/2010/wordml" w:rsidR="004B476B" w:rsidP="007031E1" w:rsidRDefault="004B476B" w14:paraId="66CBEC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43901"/>
      <w:docPartObj>
        <w:docPartGallery w:val="Page Numbers (Bottom of Page)"/>
        <w:docPartUnique/>
      </w:docPartObj>
    </w:sdtPr>
    <w:sdtEndPr>
      <w:rPr>
        <w:rFonts w:ascii="Times New Roman" w:hAnsi="Times New Roman" w:cs="Times New Roman"/>
        <w:noProof/>
      </w:rPr>
    </w:sdtEndPr>
    <w:sdtContent>
      <w:p xmlns:wp14="http://schemas.microsoft.com/office/word/2010/wordml" w:rsidRPr="007031E1" w:rsidR="007031E1" w:rsidRDefault="007031E1" w14:paraId="69BB2CF6" wp14:textId="77777777">
        <w:pPr>
          <w:pStyle w:val="Footer"/>
          <w:jc w:val="center"/>
          <w:rPr>
            <w:rFonts w:ascii="Times New Roman" w:hAnsi="Times New Roman" w:cs="Times New Roman"/>
          </w:rPr>
        </w:pPr>
        <w:r w:rsidRPr="007031E1">
          <w:rPr>
            <w:rFonts w:ascii="Times New Roman" w:hAnsi="Times New Roman" w:cs="Times New Roman"/>
          </w:rPr>
          <w:fldChar w:fldCharType="begin"/>
        </w:r>
        <w:r w:rsidRPr="007031E1">
          <w:rPr>
            <w:rFonts w:ascii="Times New Roman" w:hAnsi="Times New Roman" w:cs="Times New Roman"/>
          </w:rPr>
          <w:instrText xml:space="preserve"> PAGE   \* MERGEFORMAT </w:instrText>
        </w:r>
        <w:r w:rsidRPr="007031E1">
          <w:rPr>
            <w:rFonts w:ascii="Times New Roman" w:hAnsi="Times New Roman" w:cs="Times New Roman"/>
          </w:rPr>
          <w:fldChar w:fldCharType="separate"/>
        </w:r>
        <w:r w:rsidR="0095552D">
          <w:rPr>
            <w:rFonts w:ascii="Times New Roman" w:hAnsi="Times New Roman" w:cs="Times New Roman"/>
            <w:noProof/>
          </w:rPr>
          <w:t>3</w:t>
        </w:r>
        <w:r w:rsidRPr="007031E1">
          <w:rPr>
            <w:rFonts w:ascii="Times New Roman" w:hAnsi="Times New Roman" w:cs="Times New Roman"/>
            <w:noProof/>
          </w:rPr>
          <w:fldChar w:fldCharType="end"/>
        </w:r>
      </w:p>
    </w:sdtContent>
  </w:sdt>
  <w:p xmlns:wp14="http://schemas.microsoft.com/office/word/2010/wordml" w:rsidR="007031E1" w:rsidRDefault="007031E1" w14:paraId="0C67C7B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B476B" w:rsidP="007031E1" w:rsidRDefault="004B476B" w14:paraId="6AD80AC1" wp14:textId="77777777">
      <w:r>
        <w:separator/>
      </w:r>
    </w:p>
  </w:footnote>
  <w:footnote w:type="continuationSeparator" w:id="0">
    <w:p xmlns:wp14="http://schemas.microsoft.com/office/word/2010/wordml" w:rsidR="004B476B" w:rsidP="007031E1" w:rsidRDefault="004B476B" w14:paraId="17B73089"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E35BA"/>
    <w:multiLevelType w:val="hybridMultilevel"/>
    <w:tmpl w:val="B93A6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042C8B"/>
    <w:multiLevelType w:val="hybridMultilevel"/>
    <w:tmpl w:val="0AB2C3EA"/>
    <w:lvl w:ilvl="0" w:tplc="73E45EA0">
      <w:start w:val="1"/>
      <w:numFmt w:val="bullet"/>
      <w:lvlText w:val=""/>
      <w:lvlJc w:val="left"/>
      <w:pPr>
        <w:tabs>
          <w:tab w:val="num" w:pos="720"/>
        </w:tabs>
        <w:ind w:left="720" w:hanging="360"/>
      </w:pPr>
      <w:rPr>
        <w:rFonts w:hint="default" w:ascii="Wingdings" w:hAnsi="Wingdings"/>
      </w:rPr>
    </w:lvl>
    <w:lvl w:ilvl="1" w:tplc="95CEA830">
      <w:start w:val="3566"/>
      <w:numFmt w:val="bullet"/>
      <w:lvlText w:val=""/>
      <w:lvlJc w:val="left"/>
      <w:pPr>
        <w:tabs>
          <w:tab w:val="num" w:pos="1440"/>
        </w:tabs>
        <w:ind w:left="1440" w:hanging="360"/>
      </w:pPr>
      <w:rPr>
        <w:rFonts w:hint="default" w:ascii="Wingdings" w:hAnsi="Wingdings"/>
      </w:rPr>
    </w:lvl>
    <w:lvl w:ilvl="2" w:tplc="E3F86060" w:tentative="1">
      <w:start w:val="1"/>
      <w:numFmt w:val="bullet"/>
      <w:lvlText w:val=""/>
      <w:lvlJc w:val="left"/>
      <w:pPr>
        <w:tabs>
          <w:tab w:val="num" w:pos="2160"/>
        </w:tabs>
        <w:ind w:left="2160" w:hanging="360"/>
      </w:pPr>
      <w:rPr>
        <w:rFonts w:hint="default" w:ascii="Wingdings" w:hAnsi="Wingdings"/>
      </w:rPr>
    </w:lvl>
    <w:lvl w:ilvl="3" w:tplc="972E2A20" w:tentative="1">
      <w:start w:val="1"/>
      <w:numFmt w:val="bullet"/>
      <w:lvlText w:val=""/>
      <w:lvlJc w:val="left"/>
      <w:pPr>
        <w:tabs>
          <w:tab w:val="num" w:pos="2880"/>
        </w:tabs>
        <w:ind w:left="2880" w:hanging="360"/>
      </w:pPr>
      <w:rPr>
        <w:rFonts w:hint="default" w:ascii="Wingdings" w:hAnsi="Wingdings"/>
      </w:rPr>
    </w:lvl>
    <w:lvl w:ilvl="4" w:tplc="7C5AF472" w:tentative="1">
      <w:start w:val="1"/>
      <w:numFmt w:val="bullet"/>
      <w:lvlText w:val=""/>
      <w:lvlJc w:val="left"/>
      <w:pPr>
        <w:tabs>
          <w:tab w:val="num" w:pos="3600"/>
        </w:tabs>
        <w:ind w:left="3600" w:hanging="360"/>
      </w:pPr>
      <w:rPr>
        <w:rFonts w:hint="default" w:ascii="Wingdings" w:hAnsi="Wingdings"/>
      </w:rPr>
    </w:lvl>
    <w:lvl w:ilvl="5" w:tplc="471EAE96" w:tentative="1">
      <w:start w:val="1"/>
      <w:numFmt w:val="bullet"/>
      <w:lvlText w:val=""/>
      <w:lvlJc w:val="left"/>
      <w:pPr>
        <w:tabs>
          <w:tab w:val="num" w:pos="4320"/>
        </w:tabs>
        <w:ind w:left="4320" w:hanging="360"/>
      </w:pPr>
      <w:rPr>
        <w:rFonts w:hint="default" w:ascii="Wingdings" w:hAnsi="Wingdings"/>
      </w:rPr>
    </w:lvl>
    <w:lvl w:ilvl="6" w:tplc="581A5C60" w:tentative="1">
      <w:start w:val="1"/>
      <w:numFmt w:val="bullet"/>
      <w:lvlText w:val=""/>
      <w:lvlJc w:val="left"/>
      <w:pPr>
        <w:tabs>
          <w:tab w:val="num" w:pos="5040"/>
        </w:tabs>
        <w:ind w:left="5040" w:hanging="360"/>
      </w:pPr>
      <w:rPr>
        <w:rFonts w:hint="default" w:ascii="Wingdings" w:hAnsi="Wingdings"/>
      </w:rPr>
    </w:lvl>
    <w:lvl w:ilvl="7" w:tplc="340C129E" w:tentative="1">
      <w:start w:val="1"/>
      <w:numFmt w:val="bullet"/>
      <w:lvlText w:val=""/>
      <w:lvlJc w:val="left"/>
      <w:pPr>
        <w:tabs>
          <w:tab w:val="num" w:pos="5760"/>
        </w:tabs>
        <w:ind w:left="5760" w:hanging="360"/>
      </w:pPr>
      <w:rPr>
        <w:rFonts w:hint="default" w:ascii="Wingdings" w:hAnsi="Wingdings"/>
      </w:rPr>
    </w:lvl>
    <w:lvl w:ilvl="8" w:tplc="B0729DCE"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1FA7D9C"/>
    <w:multiLevelType w:val="hybridMultilevel"/>
    <w:tmpl w:val="FEE41798"/>
    <w:lvl w:ilvl="0" w:tplc="92BA56F6">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CD62ABD"/>
    <w:multiLevelType w:val="hybridMultilevel"/>
    <w:tmpl w:val="7B527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E4C277C"/>
    <w:multiLevelType w:val="hybridMultilevel"/>
    <w:tmpl w:val="D206B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A8511FB"/>
    <w:multiLevelType w:val="hybridMultilevel"/>
    <w:tmpl w:val="63C60A3A"/>
    <w:lvl w:ilvl="0" w:tplc="2CA643FA">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B1A680E"/>
    <w:multiLevelType w:val="hybridMultilevel"/>
    <w:tmpl w:val="788C0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B"/>
    <w:rsid w:val="00007809"/>
    <w:rsid w:val="00016CC7"/>
    <w:rsid w:val="00021715"/>
    <w:rsid w:val="00036365"/>
    <w:rsid w:val="0004001E"/>
    <w:rsid w:val="000863D3"/>
    <w:rsid w:val="00096C06"/>
    <w:rsid w:val="000C26F8"/>
    <w:rsid w:val="000C7989"/>
    <w:rsid w:val="000F5137"/>
    <w:rsid w:val="00146792"/>
    <w:rsid w:val="001B2ECF"/>
    <w:rsid w:val="001D4151"/>
    <w:rsid w:val="001E462B"/>
    <w:rsid w:val="00241537"/>
    <w:rsid w:val="00244CB6"/>
    <w:rsid w:val="00266331"/>
    <w:rsid w:val="00316483"/>
    <w:rsid w:val="00345B86"/>
    <w:rsid w:val="0039155C"/>
    <w:rsid w:val="003B7C51"/>
    <w:rsid w:val="003C41CA"/>
    <w:rsid w:val="003C7CA7"/>
    <w:rsid w:val="004B476B"/>
    <w:rsid w:val="0052568B"/>
    <w:rsid w:val="00545FB1"/>
    <w:rsid w:val="005A4925"/>
    <w:rsid w:val="005B6985"/>
    <w:rsid w:val="005F7279"/>
    <w:rsid w:val="006706F7"/>
    <w:rsid w:val="006961DA"/>
    <w:rsid w:val="006966A0"/>
    <w:rsid w:val="006D051A"/>
    <w:rsid w:val="007031E1"/>
    <w:rsid w:val="00724037"/>
    <w:rsid w:val="00750732"/>
    <w:rsid w:val="007618EC"/>
    <w:rsid w:val="00781B34"/>
    <w:rsid w:val="0078742C"/>
    <w:rsid w:val="008055CF"/>
    <w:rsid w:val="00826B0C"/>
    <w:rsid w:val="00831032"/>
    <w:rsid w:val="008B73EF"/>
    <w:rsid w:val="00954CCD"/>
    <w:rsid w:val="0095552D"/>
    <w:rsid w:val="009709EB"/>
    <w:rsid w:val="00971967"/>
    <w:rsid w:val="00991FAE"/>
    <w:rsid w:val="00994953"/>
    <w:rsid w:val="009F699A"/>
    <w:rsid w:val="00A105E4"/>
    <w:rsid w:val="00A112F5"/>
    <w:rsid w:val="00A325DA"/>
    <w:rsid w:val="00A328FE"/>
    <w:rsid w:val="00A53290"/>
    <w:rsid w:val="00AC1EA0"/>
    <w:rsid w:val="00AF37FB"/>
    <w:rsid w:val="00B052B5"/>
    <w:rsid w:val="00B07265"/>
    <w:rsid w:val="00B27BA8"/>
    <w:rsid w:val="00B357AD"/>
    <w:rsid w:val="00B84CA1"/>
    <w:rsid w:val="00BA7963"/>
    <w:rsid w:val="00C06117"/>
    <w:rsid w:val="00C13407"/>
    <w:rsid w:val="00C1482D"/>
    <w:rsid w:val="00C66CDC"/>
    <w:rsid w:val="00C775EB"/>
    <w:rsid w:val="00CA1C1C"/>
    <w:rsid w:val="00CB3AB9"/>
    <w:rsid w:val="00CD4DAF"/>
    <w:rsid w:val="00D17133"/>
    <w:rsid w:val="00D53332"/>
    <w:rsid w:val="00E31604"/>
    <w:rsid w:val="00E31BC9"/>
    <w:rsid w:val="00E807E3"/>
    <w:rsid w:val="00E943D9"/>
    <w:rsid w:val="00EA0F74"/>
    <w:rsid w:val="00EB673D"/>
    <w:rsid w:val="00EC1400"/>
    <w:rsid w:val="00ED7A6D"/>
    <w:rsid w:val="00EF3BD1"/>
    <w:rsid w:val="00F40432"/>
    <w:rsid w:val="00F55FDD"/>
    <w:rsid w:val="00F614F9"/>
    <w:rsid w:val="00F64944"/>
    <w:rsid w:val="00F90208"/>
    <w:rsid w:val="00FA6DEC"/>
    <w:rsid w:val="1653C5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DC4BE1-4BEB-4F00-A2CC-2C5C4315FA23}"/>
  <w14:docId w14:val="0D06A4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F37FB"/>
    <w:pPr>
      <w:spacing w:before="100" w:beforeAutospacing="1" w:after="100" w:afterAutospacing="1"/>
    </w:pPr>
    <w:rPr>
      <w:rFonts w:ascii="Times" w:hAnsi="Times" w:cs="Times New Roman"/>
      <w:sz w:val="20"/>
      <w:szCs w:val="20"/>
      <w:lang w:val="es-ES"/>
    </w:rPr>
  </w:style>
  <w:style w:type="paragraph" w:styleId="BalloonText">
    <w:name w:val="Balloon Text"/>
    <w:basedOn w:val="Normal"/>
    <w:link w:val="BalloonTextChar"/>
    <w:uiPriority w:val="99"/>
    <w:semiHidden/>
    <w:unhideWhenUsed/>
    <w:rsid w:val="005A4925"/>
    <w:rPr>
      <w:rFonts w:ascii="Tahoma" w:hAnsi="Tahoma" w:cs="Tahoma"/>
      <w:sz w:val="16"/>
      <w:szCs w:val="16"/>
    </w:rPr>
  </w:style>
  <w:style w:type="character" w:styleId="BalloonTextChar" w:customStyle="1">
    <w:name w:val="Balloon Text Char"/>
    <w:basedOn w:val="DefaultParagraphFont"/>
    <w:link w:val="BalloonText"/>
    <w:uiPriority w:val="99"/>
    <w:semiHidden/>
    <w:rsid w:val="005A4925"/>
    <w:rPr>
      <w:rFonts w:ascii="Tahoma" w:hAnsi="Tahoma" w:cs="Tahoma"/>
      <w:sz w:val="16"/>
      <w:szCs w:val="16"/>
    </w:rPr>
  </w:style>
  <w:style w:type="paragraph" w:styleId="Header">
    <w:name w:val="header"/>
    <w:basedOn w:val="Normal"/>
    <w:link w:val="HeaderChar"/>
    <w:uiPriority w:val="99"/>
    <w:unhideWhenUsed/>
    <w:rsid w:val="007031E1"/>
    <w:pPr>
      <w:tabs>
        <w:tab w:val="center" w:pos="4513"/>
        <w:tab w:val="right" w:pos="9026"/>
      </w:tabs>
    </w:pPr>
  </w:style>
  <w:style w:type="character" w:styleId="HeaderChar" w:customStyle="1">
    <w:name w:val="Header Char"/>
    <w:basedOn w:val="DefaultParagraphFont"/>
    <w:link w:val="Header"/>
    <w:uiPriority w:val="99"/>
    <w:rsid w:val="007031E1"/>
  </w:style>
  <w:style w:type="paragraph" w:styleId="Footer">
    <w:name w:val="footer"/>
    <w:basedOn w:val="Normal"/>
    <w:link w:val="FooterChar"/>
    <w:uiPriority w:val="99"/>
    <w:unhideWhenUsed/>
    <w:rsid w:val="007031E1"/>
    <w:pPr>
      <w:tabs>
        <w:tab w:val="center" w:pos="4513"/>
        <w:tab w:val="right" w:pos="9026"/>
      </w:tabs>
    </w:pPr>
  </w:style>
  <w:style w:type="character" w:styleId="FooterChar" w:customStyle="1">
    <w:name w:val="Footer Char"/>
    <w:basedOn w:val="DefaultParagraphFont"/>
    <w:link w:val="Footer"/>
    <w:uiPriority w:val="99"/>
    <w:rsid w:val="007031E1"/>
  </w:style>
  <w:style w:type="paragraph" w:styleId="ListParagraph">
    <w:name w:val="List Paragraph"/>
    <w:basedOn w:val="Normal"/>
    <w:uiPriority w:val="34"/>
    <w:qFormat/>
    <w:rsid w:val="00D53332"/>
    <w:pPr>
      <w:ind w:left="720"/>
      <w:contextualSpacing/>
    </w:pPr>
  </w:style>
  <w:style w:type="character" w:styleId="CommentReference">
    <w:name w:val="annotation reference"/>
    <w:basedOn w:val="DefaultParagraphFont"/>
    <w:uiPriority w:val="99"/>
    <w:semiHidden/>
    <w:unhideWhenUsed/>
    <w:rsid w:val="00CB3AB9"/>
    <w:rPr>
      <w:sz w:val="16"/>
      <w:szCs w:val="16"/>
    </w:rPr>
  </w:style>
  <w:style w:type="paragraph" w:styleId="CommentText">
    <w:name w:val="annotation text"/>
    <w:basedOn w:val="Normal"/>
    <w:link w:val="CommentTextChar"/>
    <w:uiPriority w:val="99"/>
    <w:unhideWhenUsed/>
    <w:rsid w:val="00CB3AB9"/>
    <w:rPr>
      <w:sz w:val="20"/>
      <w:szCs w:val="20"/>
    </w:rPr>
  </w:style>
  <w:style w:type="character" w:styleId="CommentTextChar" w:customStyle="1">
    <w:name w:val="Comment Text Char"/>
    <w:basedOn w:val="DefaultParagraphFont"/>
    <w:link w:val="CommentText"/>
    <w:uiPriority w:val="99"/>
    <w:rsid w:val="00CB3AB9"/>
    <w:rPr>
      <w:sz w:val="20"/>
      <w:szCs w:val="20"/>
    </w:rPr>
  </w:style>
  <w:style w:type="paragraph" w:styleId="CommentSubject">
    <w:name w:val="annotation subject"/>
    <w:basedOn w:val="CommentText"/>
    <w:next w:val="CommentText"/>
    <w:link w:val="CommentSubjectChar"/>
    <w:uiPriority w:val="99"/>
    <w:semiHidden/>
    <w:unhideWhenUsed/>
    <w:rsid w:val="00CB3AB9"/>
    <w:rPr>
      <w:b/>
      <w:bCs/>
    </w:rPr>
  </w:style>
  <w:style w:type="character" w:styleId="CommentSubjectChar" w:customStyle="1">
    <w:name w:val="Comment Subject Char"/>
    <w:basedOn w:val="CommentTextChar"/>
    <w:link w:val="CommentSubject"/>
    <w:uiPriority w:val="99"/>
    <w:semiHidden/>
    <w:rsid w:val="00CB3AB9"/>
    <w:rPr>
      <w:b/>
      <w:bCs/>
      <w:sz w:val="20"/>
      <w:szCs w:val="20"/>
    </w:rPr>
  </w:style>
  <w:style w:type="paragraph" w:styleId="FootnoteText">
    <w:name w:val="footnote text"/>
    <w:basedOn w:val="Normal"/>
    <w:link w:val="FootnoteTextChar"/>
    <w:uiPriority w:val="99"/>
    <w:unhideWhenUsed/>
    <w:rsid w:val="00ED7A6D"/>
    <w:rPr>
      <w:rFonts w:ascii="Calibri" w:hAnsi="Calibri" w:eastAsia="Calibri" w:cs="Times New Roman"/>
      <w:sz w:val="20"/>
      <w:szCs w:val="20"/>
      <w:lang w:val="en-GB" w:eastAsia="en-US"/>
    </w:rPr>
  </w:style>
  <w:style w:type="character" w:styleId="FootnoteTextChar" w:customStyle="1">
    <w:name w:val="Footnote Text Char"/>
    <w:basedOn w:val="DefaultParagraphFont"/>
    <w:link w:val="FootnoteText"/>
    <w:uiPriority w:val="99"/>
    <w:rsid w:val="00ED7A6D"/>
    <w:rPr>
      <w:rFonts w:ascii="Calibri" w:hAnsi="Calibri" w:eastAsia="Calibri" w:cs="Times New Roman"/>
      <w:sz w:val="20"/>
      <w:szCs w:val="20"/>
      <w:lang w:val="en-GB" w:eastAsia="en-US"/>
    </w:rPr>
  </w:style>
  <w:style w:type="character" w:styleId="FootnoteReference">
    <w:name w:val="footnote reference"/>
    <w:uiPriority w:val="99"/>
    <w:unhideWhenUsed/>
    <w:rsid w:val="00ED7A6D"/>
    <w:rPr>
      <w:vertAlign w:val="superscript"/>
    </w:rPr>
  </w:style>
  <w:style w:type="character" w:styleId="Hyperlink">
    <w:name w:val="Hyperlink"/>
    <w:basedOn w:val="DefaultParagraphFont"/>
    <w:uiPriority w:val="99"/>
    <w:unhideWhenUsed/>
    <w:rsid w:val="00A53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0670">
      <w:bodyDiv w:val="1"/>
      <w:marLeft w:val="0"/>
      <w:marRight w:val="0"/>
      <w:marTop w:val="0"/>
      <w:marBottom w:val="0"/>
      <w:divBdr>
        <w:top w:val="none" w:sz="0" w:space="0" w:color="auto"/>
        <w:left w:val="none" w:sz="0" w:space="0" w:color="auto"/>
        <w:bottom w:val="none" w:sz="0" w:space="0" w:color="auto"/>
        <w:right w:val="none" w:sz="0" w:space="0" w:color="auto"/>
      </w:divBdr>
      <w:divsChild>
        <w:div w:id="1537425874">
          <w:marLeft w:val="0"/>
          <w:marRight w:val="0"/>
          <w:marTop w:val="0"/>
          <w:marBottom w:val="0"/>
          <w:divBdr>
            <w:top w:val="none" w:sz="0" w:space="0" w:color="auto"/>
            <w:left w:val="none" w:sz="0" w:space="0" w:color="auto"/>
            <w:bottom w:val="none" w:sz="0" w:space="0" w:color="auto"/>
            <w:right w:val="none" w:sz="0" w:space="0" w:color="auto"/>
          </w:divBdr>
          <w:divsChild>
            <w:div w:id="640115187">
              <w:marLeft w:val="0"/>
              <w:marRight w:val="0"/>
              <w:marTop w:val="0"/>
              <w:marBottom w:val="0"/>
              <w:divBdr>
                <w:top w:val="none" w:sz="0" w:space="0" w:color="auto"/>
                <w:left w:val="none" w:sz="0" w:space="0" w:color="auto"/>
                <w:bottom w:val="none" w:sz="0" w:space="0" w:color="auto"/>
                <w:right w:val="none" w:sz="0" w:space="0" w:color="auto"/>
              </w:divBdr>
              <w:divsChild>
                <w:div w:id="1292858924">
                  <w:marLeft w:val="0"/>
                  <w:marRight w:val="0"/>
                  <w:marTop w:val="0"/>
                  <w:marBottom w:val="0"/>
                  <w:divBdr>
                    <w:top w:val="none" w:sz="0" w:space="0" w:color="auto"/>
                    <w:left w:val="none" w:sz="0" w:space="0" w:color="auto"/>
                    <w:bottom w:val="none" w:sz="0" w:space="0" w:color="auto"/>
                    <w:right w:val="none" w:sz="0" w:space="0" w:color="auto"/>
                  </w:divBdr>
                  <w:divsChild>
                    <w:div w:id="10255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426">
      <w:bodyDiv w:val="1"/>
      <w:marLeft w:val="0"/>
      <w:marRight w:val="0"/>
      <w:marTop w:val="0"/>
      <w:marBottom w:val="0"/>
      <w:divBdr>
        <w:top w:val="none" w:sz="0" w:space="0" w:color="auto"/>
        <w:left w:val="none" w:sz="0" w:space="0" w:color="auto"/>
        <w:bottom w:val="none" w:sz="0" w:space="0" w:color="auto"/>
        <w:right w:val="none" w:sz="0" w:space="0" w:color="auto"/>
      </w:divBdr>
      <w:divsChild>
        <w:div w:id="716854099">
          <w:marLeft w:val="0"/>
          <w:marRight w:val="0"/>
          <w:marTop w:val="0"/>
          <w:marBottom w:val="0"/>
          <w:divBdr>
            <w:top w:val="none" w:sz="0" w:space="0" w:color="auto"/>
            <w:left w:val="none" w:sz="0" w:space="0" w:color="auto"/>
            <w:bottom w:val="none" w:sz="0" w:space="0" w:color="auto"/>
            <w:right w:val="none" w:sz="0" w:space="0" w:color="auto"/>
          </w:divBdr>
          <w:divsChild>
            <w:div w:id="1643655362">
              <w:marLeft w:val="0"/>
              <w:marRight w:val="0"/>
              <w:marTop w:val="0"/>
              <w:marBottom w:val="0"/>
              <w:divBdr>
                <w:top w:val="none" w:sz="0" w:space="0" w:color="auto"/>
                <w:left w:val="none" w:sz="0" w:space="0" w:color="auto"/>
                <w:bottom w:val="none" w:sz="0" w:space="0" w:color="auto"/>
                <w:right w:val="none" w:sz="0" w:space="0" w:color="auto"/>
              </w:divBdr>
              <w:divsChild>
                <w:div w:id="1479691015">
                  <w:marLeft w:val="0"/>
                  <w:marRight w:val="0"/>
                  <w:marTop w:val="0"/>
                  <w:marBottom w:val="0"/>
                  <w:divBdr>
                    <w:top w:val="none" w:sz="0" w:space="0" w:color="auto"/>
                    <w:left w:val="none" w:sz="0" w:space="0" w:color="auto"/>
                    <w:bottom w:val="none" w:sz="0" w:space="0" w:color="auto"/>
                    <w:right w:val="none" w:sz="0" w:space="0" w:color="auto"/>
                  </w:divBdr>
                  <w:divsChild>
                    <w:div w:id="13139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hyperlink" Target="http://www.fao.org/3/a-i4204e.pdf"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adb.org/sites/default/files/pub/2014/economic-corridor-development.pdf"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adb.org/sites/default/files/pub/2012/gms-20-yrs-partnership.pdf"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ww.adb.org/sites/default/files/publication/29959/agricultural-trade-facilitation-gms.pdf" TargetMode="External" Id="rId10" /><Relationship Type="http://schemas.openxmlformats.org/officeDocument/2006/relationships/webSettings" Target="webSettings.xml" Id="rId4" /><Relationship Type="http://schemas.openxmlformats.org/officeDocument/2006/relationships/hyperlink" Target="http://www10.iadb.org/intal/intalcdi/PE/2012/12111.pdf" TargetMode="External" Id="rId9" /><Relationship Type="http://schemas.openxmlformats.org/officeDocument/2006/relationships/hyperlink" Target="http://www.adb.org/sites/default/files/publication/29977/trade-and-trade-facilitation-gms.pdf"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FAO of the 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 Galvez</dc:creator>
  <lastModifiedBy>Marlo Rankin</lastModifiedBy>
  <revision>3</revision>
  <lastPrinted>2016-07-08T08:49:00.0000000Z</lastPrinted>
  <dcterms:created xsi:type="dcterms:W3CDTF">2016-07-14T09:19:00.0000000Z</dcterms:created>
  <dcterms:modified xsi:type="dcterms:W3CDTF">2016-07-15T13:59:43.4216829Z</dcterms:modified>
</coreProperties>
</file>